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D6D3" w14:textId="2D9BCD7F" w:rsidR="00B86D92" w:rsidRPr="00C1116A" w:rsidRDefault="00044225" w:rsidP="00C1116A">
      <w:pPr>
        <w:spacing w:line="480" w:lineRule="auto"/>
        <w:jc w:val="center"/>
        <w:rPr>
          <w:rFonts w:ascii="Arial" w:hAnsi="Arial" w:cs="Arial"/>
          <w:i/>
          <w:iCs/>
        </w:rPr>
      </w:pPr>
      <w:r w:rsidRPr="00C1116A">
        <w:rPr>
          <w:rFonts w:ascii="Arial" w:hAnsi="Arial" w:cs="Arial"/>
          <w:i/>
          <w:iCs/>
        </w:rPr>
        <w:t>“What is Sikh jurisprudence?”</w:t>
      </w:r>
    </w:p>
    <w:p w14:paraId="4390CC55" w14:textId="69300D91" w:rsidR="0061185A" w:rsidRDefault="00044225" w:rsidP="0061185A">
      <w:pPr>
        <w:spacing w:line="480" w:lineRule="auto"/>
        <w:jc w:val="center"/>
        <w:rPr>
          <w:rFonts w:ascii="Arial" w:hAnsi="Arial" w:cs="Arial"/>
        </w:rPr>
      </w:pPr>
      <w:r w:rsidRPr="00C1116A">
        <w:rPr>
          <w:rFonts w:ascii="Arial" w:hAnsi="Arial" w:cs="Arial"/>
        </w:rPr>
        <w:t>Richard Mahal</w:t>
      </w:r>
    </w:p>
    <w:p w14:paraId="73857107" w14:textId="090D69CD" w:rsidR="00770455" w:rsidRPr="00C1116A" w:rsidRDefault="00770455" w:rsidP="0061185A">
      <w:pPr>
        <w:spacing w:line="480" w:lineRule="auto"/>
        <w:jc w:val="center"/>
        <w:rPr>
          <w:rFonts w:ascii="Arial" w:hAnsi="Arial" w:cs="Arial"/>
        </w:rPr>
      </w:pPr>
      <w:r>
        <w:rPr>
          <w:rFonts w:ascii="Arial" w:hAnsi="Arial" w:cs="Arial"/>
        </w:rPr>
        <w:t>Word count: 2,6</w:t>
      </w:r>
      <w:r w:rsidR="00C7141C">
        <w:rPr>
          <w:rFonts w:ascii="Arial" w:hAnsi="Arial" w:cs="Arial"/>
        </w:rPr>
        <w:t>4</w:t>
      </w:r>
      <w:r w:rsidR="00C12C98">
        <w:rPr>
          <w:rFonts w:ascii="Arial" w:hAnsi="Arial" w:cs="Arial"/>
        </w:rPr>
        <w:t>1</w:t>
      </w:r>
      <w:bookmarkStart w:id="0" w:name="_GoBack"/>
      <w:bookmarkEnd w:id="0"/>
      <w:r>
        <w:rPr>
          <w:rFonts w:ascii="Arial" w:hAnsi="Arial" w:cs="Arial"/>
        </w:rPr>
        <w:t xml:space="preserve"> (excluding footnotes)</w:t>
      </w:r>
    </w:p>
    <w:p w14:paraId="484B63D6" w14:textId="38407465" w:rsidR="00925FAC" w:rsidRPr="00C1116A" w:rsidRDefault="00C1116A" w:rsidP="00C1116A">
      <w:pPr>
        <w:spacing w:line="480" w:lineRule="auto"/>
        <w:jc w:val="both"/>
        <w:rPr>
          <w:rFonts w:ascii="Arial" w:hAnsi="Arial" w:cs="Arial"/>
          <w:b/>
          <w:bCs/>
        </w:rPr>
      </w:pPr>
      <w:r w:rsidRPr="00C1116A">
        <w:rPr>
          <w:rFonts w:ascii="Arial" w:hAnsi="Arial" w:cs="Arial"/>
          <w:b/>
          <w:bCs/>
        </w:rPr>
        <w:t>Introduction</w:t>
      </w:r>
    </w:p>
    <w:p w14:paraId="5D592F9A" w14:textId="38700C91" w:rsidR="00A33755" w:rsidRPr="00C1116A" w:rsidRDefault="00925FAC" w:rsidP="00C1116A">
      <w:pPr>
        <w:spacing w:line="480" w:lineRule="auto"/>
        <w:jc w:val="both"/>
        <w:rPr>
          <w:rFonts w:ascii="Arial" w:hAnsi="Arial" w:cs="Arial"/>
        </w:rPr>
      </w:pPr>
      <w:r w:rsidRPr="00C1116A">
        <w:rPr>
          <w:rFonts w:ascii="Arial" w:hAnsi="Arial" w:cs="Arial"/>
        </w:rPr>
        <w:t>The term “jurisprudence”</w:t>
      </w:r>
      <w:r w:rsidR="001611CB">
        <w:rPr>
          <w:rFonts w:ascii="Arial" w:hAnsi="Arial" w:cs="Arial"/>
        </w:rPr>
        <w:t xml:space="preserve"> refers to</w:t>
      </w:r>
      <w:r w:rsidRPr="00C1116A">
        <w:rPr>
          <w:rFonts w:ascii="Arial" w:hAnsi="Arial" w:cs="Arial"/>
        </w:rPr>
        <w:t xml:space="preserve"> two separate concepts in law. In the first instance, </w:t>
      </w:r>
      <w:r w:rsidR="000C2DD4" w:rsidRPr="00C1116A">
        <w:rPr>
          <w:rFonts w:ascii="Arial" w:hAnsi="Arial" w:cs="Arial"/>
        </w:rPr>
        <w:t>the term</w:t>
      </w:r>
      <w:r w:rsidRPr="00C1116A">
        <w:rPr>
          <w:rFonts w:ascii="Arial" w:hAnsi="Arial" w:cs="Arial"/>
        </w:rPr>
        <w:t xml:space="preserve"> </w:t>
      </w:r>
      <w:r w:rsidR="001611CB">
        <w:rPr>
          <w:rFonts w:ascii="Arial" w:hAnsi="Arial" w:cs="Arial"/>
        </w:rPr>
        <w:t>alludes</w:t>
      </w:r>
      <w:r w:rsidRPr="00C1116A">
        <w:rPr>
          <w:rFonts w:ascii="Arial" w:hAnsi="Arial" w:cs="Arial"/>
        </w:rPr>
        <w:t xml:space="preserve"> to the corpus of judicial authority in a field of law which serves as </w:t>
      </w:r>
      <w:r w:rsidR="00165891" w:rsidRPr="00C1116A">
        <w:rPr>
          <w:rFonts w:ascii="Arial" w:hAnsi="Arial" w:cs="Arial"/>
        </w:rPr>
        <w:t xml:space="preserve">a </w:t>
      </w:r>
      <w:r w:rsidRPr="00C1116A">
        <w:rPr>
          <w:rFonts w:ascii="Arial" w:hAnsi="Arial" w:cs="Arial"/>
        </w:rPr>
        <w:t xml:space="preserve">precedent or reference point for </w:t>
      </w:r>
      <w:r w:rsidR="000C2DD4" w:rsidRPr="00C1116A">
        <w:rPr>
          <w:rFonts w:ascii="Arial" w:hAnsi="Arial" w:cs="Arial"/>
        </w:rPr>
        <w:t xml:space="preserve">the determination of </w:t>
      </w:r>
      <w:r w:rsidRPr="00C1116A">
        <w:rPr>
          <w:rFonts w:ascii="Arial" w:hAnsi="Arial" w:cs="Arial"/>
        </w:rPr>
        <w:t>future case</w:t>
      </w:r>
      <w:r w:rsidR="006C3252">
        <w:rPr>
          <w:rFonts w:ascii="Arial" w:hAnsi="Arial" w:cs="Arial"/>
        </w:rPr>
        <w:t>s.</w:t>
      </w:r>
      <w:r w:rsidRPr="00C1116A">
        <w:rPr>
          <w:rFonts w:ascii="Arial" w:hAnsi="Arial" w:cs="Arial"/>
        </w:rPr>
        <w:t xml:space="preserve"> In the second </w:t>
      </w:r>
      <w:r w:rsidR="000C2DD4" w:rsidRPr="00C1116A">
        <w:rPr>
          <w:rFonts w:ascii="Arial" w:hAnsi="Arial" w:cs="Arial"/>
        </w:rPr>
        <w:t>broader sense</w:t>
      </w:r>
      <w:r w:rsidRPr="00C1116A">
        <w:rPr>
          <w:rFonts w:ascii="Arial" w:hAnsi="Arial" w:cs="Arial"/>
        </w:rPr>
        <w:t xml:space="preserve">, </w:t>
      </w:r>
      <w:r w:rsidR="000C2DD4" w:rsidRPr="00C1116A">
        <w:rPr>
          <w:rFonts w:ascii="Arial" w:hAnsi="Arial" w:cs="Arial"/>
        </w:rPr>
        <w:t xml:space="preserve">the term </w:t>
      </w:r>
      <w:r w:rsidR="001611CB">
        <w:rPr>
          <w:rFonts w:ascii="Arial" w:hAnsi="Arial" w:cs="Arial"/>
        </w:rPr>
        <w:t>is a reference</w:t>
      </w:r>
      <w:r w:rsidR="000C2DD4" w:rsidRPr="00C1116A">
        <w:rPr>
          <w:rFonts w:ascii="Arial" w:hAnsi="Arial" w:cs="Arial"/>
        </w:rPr>
        <w:t xml:space="preserve"> to the study of the theory of law</w:t>
      </w:r>
      <w:r w:rsidR="006C3252">
        <w:rPr>
          <w:rFonts w:ascii="Arial" w:hAnsi="Arial" w:cs="Arial"/>
        </w:rPr>
        <w:t>, or</w:t>
      </w:r>
      <w:r w:rsidR="00A33755" w:rsidRPr="00C1116A">
        <w:rPr>
          <w:rFonts w:ascii="Arial" w:hAnsi="Arial" w:cs="Arial"/>
        </w:rPr>
        <w:t xml:space="preserve"> as the philosophical enquiry into the nature of la</w:t>
      </w:r>
      <w:r w:rsidR="006C3252">
        <w:rPr>
          <w:rFonts w:ascii="Arial" w:hAnsi="Arial" w:cs="Arial"/>
        </w:rPr>
        <w:t xml:space="preserve">w. </w:t>
      </w:r>
      <w:r w:rsidR="00A33755" w:rsidRPr="00C1116A">
        <w:rPr>
          <w:rFonts w:ascii="Arial" w:hAnsi="Arial" w:cs="Arial"/>
        </w:rPr>
        <w:t xml:space="preserve"> </w:t>
      </w:r>
    </w:p>
    <w:p w14:paraId="0352249E" w14:textId="033D71DA" w:rsidR="00212D81" w:rsidRPr="00C1116A" w:rsidRDefault="00397772" w:rsidP="00C1116A">
      <w:pPr>
        <w:spacing w:line="480" w:lineRule="auto"/>
        <w:jc w:val="both"/>
        <w:rPr>
          <w:rFonts w:ascii="Arial" w:hAnsi="Arial" w:cs="Arial"/>
        </w:rPr>
      </w:pPr>
      <w:r w:rsidRPr="00C1116A">
        <w:rPr>
          <w:rFonts w:ascii="Arial" w:hAnsi="Arial" w:cs="Arial"/>
        </w:rPr>
        <w:t>Sikh jurisprudence, it shall be argued, can be bro</w:t>
      </w:r>
      <w:r w:rsidR="006C3252">
        <w:rPr>
          <w:rFonts w:ascii="Arial" w:hAnsi="Arial" w:cs="Arial"/>
        </w:rPr>
        <w:t xml:space="preserve">adly </w:t>
      </w:r>
      <w:r w:rsidRPr="00C1116A">
        <w:rPr>
          <w:rFonts w:ascii="Arial" w:hAnsi="Arial" w:cs="Arial"/>
        </w:rPr>
        <w:t xml:space="preserve">seen to correspond to both of the two meanings described above. First, whilst the Sikh faith does not </w:t>
      </w:r>
      <w:r w:rsidR="009B3931">
        <w:rPr>
          <w:rFonts w:ascii="Arial" w:hAnsi="Arial" w:cs="Arial"/>
        </w:rPr>
        <w:t>prescribe</w:t>
      </w:r>
      <w:r w:rsidR="009B3931" w:rsidRPr="00C1116A">
        <w:rPr>
          <w:rFonts w:ascii="Arial" w:hAnsi="Arial" w:cs="Arial"/>
        </w:rPr>
        <w:t xml:space="preserve"> </w:t>
      </w:r>
      <w:r w:rsidRPr="00C1116A">
        <w:rPr>
          <w:rFonts w:ascii="Arial" w:hAnsi="Arial" w:cs="Arial"/>
        </w:rPr>
        <w:t>an exhaustive</w:t>
      </w:r>
      <w:r w:rsidR="001551D9" w:rsidRPr="00C1116A">
        <w:rPr>
          <w:rFonts w:ascii="Arial" w:hAnsi="Arial" w:cs="Arial"/>
        </w:rPr>
        <w:t xml:space="preserve"> “</w:t>
      </w:r>
      <w:r w:rsidRPr="00C1116A">
        <w:rPr>
          <w:rFonts w:ascii="Arial" w:hAnsi="Arial" w:cs="Arial"/>
        </w:rPr>
        <w:t>quasi-legal</w:t>
      </w:r>
      <w:r w:rsidR="001551D9" w:rsidRPr="00C1116A">
        <w:rPr>
          <w:rFonts w:ascii="Arial" w:hAnsi="Arial" w:cs="Arial"/>
        </w:rPr>
        <w:t>”</w:t>
      </w:r>
      <w:r w:rsidRPr="00C1116A">
        <w:rPr>
          <w:rFonts w:ascii="Arial" w:hAnsi="Arial" w:cs="Arial"/>
        </w:rPr>
        <w:t xml:space="preserve"> code </w:t>
      </w:r>
      <w:r w:rsidR="001551D9" w:rsidRPr="00C1116A">
        <w:rPr>
          <w:rFonts w:ascii="Arial" w:hAnsi="Arial" w:cs="Arial"/>
        </w:rPr>
        <w:t xml:space="preserve">to be followed at all times by its adherents, or a corpus of previous “authority” which serves as constraining precedent on future action, </w:t>
      </w:r>
      <w:r w:rsidR="00AB2FBE" w:rsidRPr="00C1116A">
        <w:rPr>
          <w:rFonts w:ascii="Arial" w:hAnsi="Arial" w:cs="Arial"/>
        </w:rPr>
        <w:t xml:space="preserve">the </w:t>
      </w:r>
      <w:r w:rsidR="00AB2FBE" w:rsidRPr="00C1116A">
        <w:rPr>
          <w:rFonts w:ascii="Arial" w:hAnsi="Arial" w:cs="Arial"/>
          <w:i/>
          <w:iCs/>
        </w:rPr>
        <w:t>gurmat</w:t>
      </w:r>
      <w:r w:rsidR="00AB2FBE" w:rsidRPr="00C1116A">
        <w:rPr>
          <w:rFonts w:ascii="Arial" w:hAnsi="Arial" w:cs="Arial"/>
        </w:rPr>
        <w:t xml:space="preserve"> (the Guru’s view or doctrine)</w:t>
      </w:r>
      <w:r w:rsidR="001551D9" w:rsidRPr="00C1116A">
        <w:rPr>
          <w:rFonts w:ascii="Arial" w:hAnsi="Arial" w:cs="Arial"/>
        </w:rPr>
        <w:t xml:space="preserve"> </w:t>
      </w:r>
      <w:r w:rsidR="00212D81" w:rsidRPr="00C1116A">
        <w:rPr>
          <w:rFonts w:ascii="Arial" w:hAnsi="Arial" w:cs="Arial"/>
        </w:rPr>
        <w:t>offers</w:t>
      </w:r>
      <w:r w:rsidR="001551D9" w:rsidRPr="00C1116A">
        <w:rPr>
          <w:rFonts w:ascii="Arial" w:hAnsi="Arial" w:cs="Arial"/>
        </w:rPr>
        <w:t xml:space="preserve"> a highly sophisticated </w:t>
      </w:r>
      <w:r w:rsidR="00212D81" w:rsidRPr="00C1116A">
        <w:rPr>
          <w:rFonts w:ascii="Arial" w:hAnsi="Arial" w:cs="Arial"/>
        </w:rPr>
        <w:t xml:space="preserve">set of principles which serve to guide ethical </w:t>
      </w:r>
      <w:r w:rsidR="00816B28" w:rsidRPr="00C1116A">
        <w:rPr>
          <w:rFonts w:ascii="Arial" w:hAnsi="Arial" w:cs="Arial"/>
        </w:rPr>
        <w:t xml:space="preserve">and truthful </w:t>
      </w:r>
      <w:r w:rsidR="00212D81" w:rsidRPr="00C1116A">
        <w:rPr>
          <w:rFonts w:ascii="Arial" w:hAnsi="Arial" w:cs="Arial"/>
        </w:rPr>
        <w:t>action in the world</w:t>
      </w:r>
      <w:r w:rsidR="00816B28" w:rsidRPr="00C1116A">
        <w:rPr>
          <w:rFonts w:ascii="Arial" w:hAnsi="Arial" w:cs="Arial"/>
        </w:rPr>
        <w:t xml:space="preserve">. </w:t>
      </w:r>
    </w:p>
    <w:p w14:paraId="2D1E16C3" w14:textId="6862A21D" w:rsidR="00C1116A" w:rsidRPr="00C1116A" w:rsidRDefault="00973808" w:rsidP="00C1116A">
      <w:pPr>
        <w:spacing w:line="480" w:lineRule="auto"/>
        <w:jc w:val="both"/>
        <w:rPr>
          <w:rFonts w:ascii="Arial" w:hAnsi="Arial" w:cs="Arial"/>
        </w:rPr>
      </w:pPr>
      <w:r w:rsidRPr="00C1116A">
        <w:rPr>
          <w:rFonts w:ascii="Arial" w:hAnsi="Arial" w:cs="Arial"/>
        </w:rPr>
        <w:t xml:space="preserve">Secondly, however, </w:t>
      </w:r>
      <w:r w:rsidR="00DE02F3" w:rsidRPr="00C1116A">
        <w:rPr>
          <w:rFonts w:ascii="Arial" w:hAnsi="Arial" w:cs="Arial"/>
        </w:rPr>
        <w:t xml:space="preserve">Sikh jurisprudence may be seen as referring to the underlying spiritual philosophy and axiology which </w:t>
      </w:r>
      <w:r w:rsidR="00165891" w:rsidRPr="00C1116A">
        <w:rPr>
          <w:rFonts w:ascii="Arial" w:hAnsi="Arial" w:cs="Arial"/>
        </w:rPr>
        <w:t>forms the normative basis for</w:t>
      </w:r>
      <w:r w:rsidR="00DE02F3" w:rsidRPr="00C1116A">
        <w:rPr>
          <w:rFonts w:ascii="Arial" w:hAnsi="Arial" w:cs="Arial"/>
        </w:rPr>
        <w:t xml:space="preserve"> ethical and truthful action</w:t>
      </w:r>
      <w:r w:rsidR="00D92895">
        <w:rPr>
          <w:rFonts w:ascii="Arial" w:hAnsi="Arial" w:cs="Arial"/>
        </w:rPr>
        <w:t>.</w:t>
      </w:r>
      <w:r w:rsidR="00D92895" w:rsidRPr="00C1116A">
        <w:rPr>
          <w:rFonts w:ascii="Arial" w:hAnsi="Arial" w:cs="Arial"/>
        </w:rPr>
        <w:t xml:space="preserve"> </w:t>
      </w:r>
      <w:r w:rsidR="00D92895">
        <w:rPr>
          <w:rFonts w:ascii="Arial" w:hAnsi="Arial" w:cs="Arial"/>
        </w:rPr>
        <w:t>W</w:t>
      </w:r>
      <w:r w:rsidR="00815E87" w:rsidRPr="00C1116A">
        <w:rPr>
          <w:rFonts w:ascii="Arial" w:hAnsi="Arial" w:cs="Arial"/>
        </w:rPr>
        <w:t xml:space="preserve">hilst the term “jurisprudence” has distinctively </w:t>
      </w:r>
      <w:r w:rsidR="00816B7B" w:rsidRPr="00C1116A">
        <w:rPr>
          <w:rFonts w:ascii="Arial" w:hAnsi="Arial" w:cs="Arial"/>
        </w:rPr>
        <w:t>“</w:t>
      </w:r>
      <w:r w:rsidR="00815E87" w:rsidRPr="00C1116A">
        <w:rPr>
          <w:rFonts w:ascii="Arial" w:hAnsi="Arial" w:cs="Arial"/>
        </w:rPr>
        <w:t>legal</w:t>
      </w:r>
      <w:r w:rsidR="00816B7B" w:rsidRPr="00C1116A">
        <w:rPr>
          <w:rFonts w:ascii="Arial" w:hAnsi="Arial" w:cs="Arial"/>
        </w:rPr>
        <w:t>”</w:t>
      </w:r>
      <w:r w:rsidR="00815E87" w:rsidRPr="00C1116A">
        <w:rPr>
          <w:rFonts w:ascii="Arial" w:hAnsi="Arial" w:cs="Arial"/>
        </w:rPr>
        <w:t xml:space="preserve"> connotations in Anglophone countries, it shall be argued that </w:t>
      </w:r>
      <w:r w:rsidR="00816B7B" w:rsidRPr="00C1116A">
        <w:rPr>
          <w:rFonts w:ascii="Arial" w:hAnsi="Arial" w:cs="Arial"/>
        </w:rPr>
        <w:t xml:space="preserve">all laws in large measure, whether created by statute or by the courts, are the reflection of political, social and moral choices. Sikh jurisprudence, therefore, </w:t>
      </w:r>
      <w:r w:rsidR="00165891" w:rsidRPr="00C1116A">
        <w:rPr>
          <w:rFonts w:ascii="Arial" w:hAnsi="Arial" w:cs="Arial"/>
        </w:rPr>
        <w:t xml:space="preserve">offers more than a theory about the nature of law </w:t>
      </w:r>
      <w:r w:rsidR="00165891" w:rsidRPr="00C1116A">
        <w:rPr>
          <w:rFonts w:ascii="Arial" w:hAnsi="Arial" w:cs="Arial"/>
          <w:i/>
          <w:iCs/>
        </w:rPr>
        <w:t>per se</w:t>
      </w:r>
      <w:r w:rsidR="00165891" w:rsidRPr="00C1116A">
        <w:rPr>
          <w:rFonts w:ascii="Arial" w:hAnsi="Arial" w:cs="Arial"/>
        </w:rPr>
        <w:t xml:space="preserve">, but </w:t>
      </w:r>
      <w:r w:rsidR="00B43018" w:rsidRPr="00C1116A">
        <w:rPr>
          <w:rFonts w:ascii="Arial" w:hAnsi="Arial" w:cs="Arial"/>
        </w:rPr>
        <w:t>constitutes an ethical value system</w:t>
      </w:r>
      <w:r w:rsidR="006E587C" w:rsidRPr="00C1116A">
        <w:rPr>
          <w:rFonts w:ascii="Arial" w:hAnsi="Arial" w:cs="Arial"/>
        </w:rPr>
        <w:t xml:space="preserve"> </w:t>
      </w:r>
      <w:r w:rsidR="00C1116A" w:rsidRPr="00C1116A">
        <w:rPr>
          <w:rFonts w:ascii="Arial" w:hAnsi="Arial" w:cs="Arial"/>
        </w:rPr>
        <w:t xml:space="preserve">which gives centrality to the notions of justice and truth. </w:t>
      </w:r>
    </w:p>
    <w:p w14:paraId="266017F2" w14:textId="6ACE451E" w:rsidR="00134066" w:rsidRPr="00C1116A" w:rsidRDefault="001828D9" w:rsidP="00C1116A">
      <w:pPr>
        <w:spacing w:line="480" w:lineRule="auto"/>
        <w:jc w:val="both"/>
        <w:rPr>
          <w:rFonts w:ascii="Arial" w:hAnsi="Arial" w:cs="Arial"/>
        </w:rPr>
      </w:pPr>
      <w:r w:rsidRPr="00C1116A">
        <w:rPr>
          <w:rFonts w:ascii="Arial" w:hAnsi="Arial" w:cs="Arial"/>
        </w:rPr>
        <w:t xml:space="preserve">This essay shall explore the idea of Sikh jurisprudence as constituting a </w:t>
      </w:r>
      <w:r w:rsidR="005F0ADC" w:rsidRPr="00C1116A">
        <w:rPr>
          <w:rFonts w:ascii="Arial" w:hAnsi="Arial" w:cs="Arial"/>
        </w:rPr>
        <w:t>scheme</w:t>
      </w:r>
      <w:r w:rsidRPr="00C1116A">
        <w:rPr>
          <w:rFonts w:ascii="Arial" w:hAnsi="Arial" w:cs="Arial"/>
        </w:rPr>
        <w:t xml:space="preserve"> of virtues and </w:t>
      </w:r>
      <w:r w:rsidR="00116FB9" w:rsidRPr="00C1116A">
        <w:rPr>
          <w:rFonts w:ascii="Arial" w:hAnsi="Arial" w:cs="Arial"/>
        </w:rPr>
        <w:t xml:space="preserve">moral </w:t>
      </w:r>
      <w:r w:rsidRPr="00C1116A">
        <w:rPr>
          <w:rFonts w:ascii="Arial" w:hAnsi="Arial" w:cs="Arial"/>
        </w:rPr>
        <w:t>principles</w:t>
      </w:r>
      <w:r w:rsidR="00D92895">
        <w:rPr>
          <w:rFonts w:ascii="Arial" w:hAnsi="Arial" w:cs="Arial"/>
        </w:rPr>
        <w:t>,</w:t>
      </w:r>
      <w:r w:rsidRPr="00C1116A">
        <w:rPr>
          <w:rFonts w:ascii="Arial" w:hAnsi="Arial" w:cs="Arial"/>
        </w:rPr>
        <w:t xml:space="preserve"> as well as the </w:t>
      </w:r>
      <w:r w:rsidR="005F0ADC" w:rsidRPr="00C1116A">
        <w:rPr>
          <w:rFonts w:ascii="Arial" w:hAnsi="Arial" w:cs="Arial"/>
        </w:rPr>
        <w:t xml:space="preserve">spiritual and axiological underpinning for that scheme. </w:t>
      </w:r>
      <w:r w:rsidR="00D92895">
        <w:rPr>
          <w:rFonts w:ascii="Arial" w:hAnsi="Arial" w:cs="Arial"/>
        </w:rPr>
        <w:t xml:space="preserve">Specifically, the Sikh jurisprudential notion of justice will provide the focus for this essay, with </w:t>
      </w:r>
      <w:r w:rsidR="00D92895">
        <w:rPr>
          <w:rFonts w:ascii="Arial" w:hAnsi="Arial" w:cs="Arial"/>
        </w:rPr>
        <w:lastRenderedPageBreak/>
        <w:t xml:space="preserve">consideration given to </w:t>
      </w:r>
      <w:r w:rsidR="0075182C" w:rsidRPr="00C1116A">
        <w:rPr>
          <w:rFonts w:ascii="Arial" w:hAnsi="Arial" w:cs="Arial"/>
        </w:rPr>
        <w:t xml:space="preserve">the </w:t>
      </w:r>
      <w:r w:rsidR="006011A8" w:rsidRPr="00C1116A">
        <w:rPr>
          <w:rFonts w:ascii="Arial" w:hAnsi="Arial" w:cs="Arial"/>
        </w:rPr>
        <w:t xml:space="preserve">practical </w:t>
      </w:r>
      <w:r w:rsidR="0075182C" w:rsidRPr="00C1116A">
        <w:rPr>
          <w:rFonts w:ascii="Arial" w:hAnsi="Arial" w:cs="Arial"/>
        </w:rPr>
        <w:t xml:space="preserve">implications that the teachings of Sikh jurisprudence has </w:t>
      </w:r>
      <w:r w:rsidR="006011A8" w:rsidRPr="00C1116A">
        <w:rPr>
          <w:rFonts w:ascii="Arial" w:hAnsi="Arial" w:cs="Arial"/>
        </w:rPr>
        <w:t xml:space="preserve">for societal rules, structures and institutions. </w:t>
      </w:r>
    </w:p>
    <w:p w14:paraId="4069CD60" w14:textId="1A86EB72" w:rsidR="005F0ADC" w:rsidRPr="00C1116A" w:rsidRDefault="005F0ADC" w:rsidP="00C1116A">
      <w:pPr>
        <w:spacing w:line="480" w:lineRule="auto"/>
        <w:jc w:val="both"/>
        <w:rPr>
          <w:rFonts w:ascii="Arial" w:hAnsi="Arial" w:cs="Arial"/>
          <w:b/>
          <w:bCs/>
        </w:rPr>
      </w:pPr>
      <w:r w:rsidRPr="00C1116A">
        <w:rPr>
          <w:rFonts w:ascii="Arial" w:hAnsi="Arial" w:cs="Arial"/>
          <w:b/>
          <w:bCs/>
        </w:rPr>
        <w:t xml:space="preserve">The </w:t>
      </w:r>
      <w:r w:rsidR="00116FB9" w:rsidRPr="00C1116A">
        <w:rPr>
          <w:rFonts w:ascii="Arial" w:hAnsi="Arial" w:cs="Arial"/>
          <w:b/>
          <w:bCs/>
        </w:rPr>
        <w:t xml:space="preserve">Scheme of </w:t>
      </w:r>
      <w:r w:rsidR="00B43018" w:rsidRPr="00C1116A">
        <w:rPr>
          <w:rFonts w:ascii="Arial" w:hAnsi="Arial" w:cs="Arial"/>
          <w:b/>
          <w:bCs/>
        </w:rPr>
        <w:t xml:space="preserve">Moral </w:t>
      </w:r>
      <w:r w:rsidR="00116FB9" w:rsidRPr="00C1116A">
        <w:rPr>
          <w:rFonts w:ascii="Arial" w:hAnsi="Arial" w:cs="Arial"/>
          <w:b/>
          <w:bCs/>
        </w:rPr>
        <w:t>Virtues</w:t>
      </w:r>
    </w:p>
    <w:p w14:paraId="47F7DA07" w14:textId="0A740CEC" w:rsidR="00AA3107" w:rsidRDefault="00E750E9" w:rsidP="00C1116A">
      <w:pPr>
        <w:spacing w:line="480" w:lineRule="auto"/>
        <w:jc w:val="both"/>
        <w:rPr>
          <w:rFonts w:ascii="Arial" w:hAnsi="Arial" w:cs="Arial"/>
        </w:rPr>
      </w:pPr>
      <w:r w:rsidRPr="00C1116A">
        <w:rPr>
          <w:rFonts w:ascii="Arial" w:hAnsi="Arial" w:cs="Arial"/>
        </w:rPr>
        <w:t>Guru Nanak, the first Guru, focused upon the cultivation of virtues including wisdom, contentment, courage, justice, humility, truthfulness, temperance, love, forgiveness, charity and purity.</w:t>
      </w:r>
      <w:r w:rsidRPr="00C1116A">
        <w:rPr>
          <w:rStyle w:val="FootnoteReference"/>
          <w:rFonts w:ascii="Arial" w:hAnsi="Arial" w:cs="Arial"/>
        </w:rPr>
        <w:footnoteReference w:id="1"/>
      </w:r>
      <w:r w:rsidRPr="00C1116A">
        <w:rPr>
          <w:rFonts w:ascii="Arial" w:hAnsi="Arial" w:cs="Arial"/>
        </w:rPr>
        <w:t xml:space="preserve"> </w:t>
      </w:r>
      <w:r w:rsidRPr="00C1116A">
        <w:rPr>
          <w:rFonts w:ascii="Arial" w:hAnsi="Arial" w:cs="Arial"/>
          <w:i/>
          <w:iCs/>
        </w:rPr>
        <w:t>Seva</w:t>
      </w:r>
      <w:r w:rsidRPr="00C1116A">
        <w:rPr>
          <w:rFonts w:ascii="Arial" w:hAnsi="Arial" w:cs="Arial"/>
        </w:rPr>
        <w:t xml:space="preserve"> (service) is also a particularly important ethical virtue, which must be given without hope of “self-glorification”</w:t>
      </w:r>
      <w:r w:rsidR="00AA3107">
        <w:rPr>
          <w:rFonts w:ascii="Arial" w:hAnsi="Arial" w:cs="Arial"/>
        </w:rPr>
        <w:t>,</w:t>
      </w:r>
      <w:r w:rsidRPr="00C1116A">
        <w:rPr>
          <w:rStyle w:val="FootnoteReference"/>
          <w:rFonts w:ascii="Arial" w:hAnsi="Arial" w:cs="Arial"/>
        </w:rPr>
        <w:footnoteReference w:id="2"/>
      </w:r>
      <w:r w:rsidRPr="00C1116A">
        <w:rPr>
          <w:rFonts w:ascii="Arial" w:hAnsi="Arial" w:cs="Arial"/>
        </w:rPr>
        <w:t xml:space="preserve"> </w:t>
      </w:r>
      <w:r w:rsidR="00AA3107">
        <w:rPr>
          <w:rFonts w:ascii="Arial" w:hAnsi="Arial" w:cs="Arial"/>
        </w:rPr>
        <w:t xml:space="preserve">and can be seen reflected in Sikhi’s third </w:t>
      </w:r>
      <w:r w:rsidR="00AA3107" w:rsidRPr="00C1116A">
        <w:rPr>
          <w:rFonts w:ascii="Arial" w:hAnsi="Arial" w:cs="Arial"/>
        </w:rPr>
        <w:t>Golden Rule (</w:t>
      </w:r>
      <w:r w:rsidR="00AA3107" w:rsidRPr="00C1116A">
        <w:rPr>
          <w:rFonts w:ascii="Arial" w:hAnsi="Arial" w:cs="Arial"/>
          <w:i/>
          <w:iCs/>
        </w:rPr>
        <w:t>vand chakko</w:t>
      </w:r>
      <w:r w:rsidR="00AA3107" w:rsidRPr="00C1116A">
        <w:rPr>
          <w:rFonts w:ascii="Arial" w:hAnsi="Arial" w:cs="Arial"/>
        </w:rPr>
        <w:t xml:space="preserve">, or selflessly serving and sharing with others). </w:t>
      </w:r>
      <w:r w:rsidR="00A00D6E" w:rsidRPr="00C1116A">
        <w:rPr>
          <w:rFonts w:ascii="Arial" w:hAnsi="Arial" w:cs="Arial"/>
        </w:rPr>
        <w:t>Such virtues are of fundamental importance for two reasons: the pursuit of such virtues enriches the life of the individual and enables socially responsible living.</w:t>
      </w:r>
      <w:r w:rsidR="00A00D6E" w:rsidRPr="00C1116A">
        <w:rPr>
          <w:rStyle w:val="FootnoteReference"/>
          <w:rFonts w:ascii="Arial" w:hAnsi="Arial" w:cs="Arial"/>
        </w:rPr>
        <w:footnoteReference w:id="3"/>
      </w:r>
      <w:r w:rsidR="00A00D6E" w:rsidRPr="00C1116A">
        <w:rPr>
          <w:rFonts w:ascii="Arial" w:hAnsi="Arial" w:cs="Arial"/>
        </w:rPr>
        <w:t xml:space="preserve"> </w:t>
      </w:r>
    </w:p>
    <w:p w14:paraId="365DF177" w14:textId="6B06E0EB" w:rsidR="001973BF" w:rsidRDefault="00A00D6E" w:rsidP="001973BF">
      <w:pPr>
        <w:spacing w:line="480" w:lineRule="auto"/>
        <w:jc w:val="both"/>
        <w:rPr>
          <w:rFonts w:ascii="Arial" w:hAnsi="Arial" w:cs="Arial"/>
        </w:rPr>
      </w:pPr>
      <w:r w:rsidRPr="00C1116A">
        <w:rPr>
          <w:rFonts w:ascii="Arial" w:hAnsi="Arial" w:cs="Arial"/>
        </w:rPr>
        <w:t>Moderate living in the service of others is to be pursued over discipline</w:t>
      </w:r>
      <w:r w:rsidR="002C43A5" w:rsidRPr="00C1116A">
        <w:rPr>
          <w:rFonts w:ascii="Arial" w:hAnsi="Arial" w:cs="Arial"/>
        </w:rPr>
        <w:t>, austerity and outward expressions of ritualism</w:t>
      </w:r>
      <w:r w:rsidR="002505A3" w:rsidRPr="00C1116A">
        <w:rPr>
          <w:rFonts w:ascii="Arial" w:hAnsi="Arial" w:cs="Arial"/>
        </w:rPr>
        <w:t xml:space="preserve"> (as opposed to inward meditative reflection)</w:t>
      </w:r>
      <w:r w:rsidR="002C43A5" w:rsidRPr="00C1116A">
        <w:rPr>
          <w:rFonts w:ascii="Arial" w:hAnsi="Arial" w:cs="Arial"/>
        </w:rPr>
        <w:t xml:space="preserve"> promoted by asceticism.</w:t>
      </w:r>
      <w:r w:rsidR="002C43A5" w:rsidRPr="00C1116A">
        <w:rPr>
          <w:rStyle w:val="FootnoteReference"/>
          <w:rFonts w:ascii="Arial" w:hAnsi="Arial" w:cs="Arial"/>
        </w:rPr>
        <w:footnoteReference w:id="4"/>
      </w:r>
      <w:r w:rsidR="002C43A5" w:rsidRPr="00C1116A">
        <w:rPr>
          <w:rFonts w:ascii="Arial" w:hAnsi="Arial" w:cs="Arial"/>
        </w:rPr>
        <w:t xml:space="preserve"> Guru Nanak’s teachings clearly</w:t>
      </w:r>
      <w:r w:rsidR="001611CB">
        <w:rPr>
          <w:rFonts w:ascii="Arial" w:hAnsi="Arial" w:cs="Arial"/>
        </w:rPr>
        <w:t xml:space="preserve"> sever</w:t>
      </w:r>
      <w:r w:rsidR="002C43A5" w:rsidRPr="00C1116A">
        <w:rPr>
          <w:rFonts w:ascii="Arial" w:hAnsi="Arial" w:cs="Arial"/>
        </w:rPr>
        <w:t xml:space="preserve"> the connection between the attainment of these high virtues and pure ritualistic tradition. </w:t>
      </w:r>
      <w:r w:rsidR="002505A3" w:rsidRPr="00C1116A">
        <w:rPr>
          <w:rFonts w:ascii="Arial" w:hAnsi="Arial" w:cs="Arial"/>
        </w:rPr>
        <w:t>Rather, t</w:t>
      </w:r>
      <w:r w:rsidR="002C43A5" w:rsidRPr="00C1116A">
        <w:rPr>
          <w:rFonts w:ascii="Arial" w:hAnsi="Arial" w:cs="Arial"/>
        </w:rPr>
        <w:t>he “life of activis</w:t>
      </w:r>
      <w:r w:rsidR="00D92895">
        <w:rPr>
          <w:rFonts w:ascii="Arial" w:hAnsi="Arial" w:cs="Arial"/>
        </w:rPr>
        <w:t xml:space="preserve">m” </w:t>
      </w:r>
      <w:r w:rsidR="002C43A5" w:rsidRPr="00C1116A">
        <w:rPr>
          <w:rFonts w:ascii="Arial" w:hAnsi="Arial" w:cs="Arial"/>
        </w:rPr>
        <w:t xml:space="preserve">is </w:t>
      </w:r>
      <w:r w:rsidR="002505A3" w:rsidRPr="00C1116A">
        <w:rPr>
          <w:rFonts w:ascii="Arial" w:hAnsi="Arial" w:cs="Arial"/>
        </w:rPr>
        <w:t xml:space="preserve">inextricably </w:t>
      </w:r>
      <w:r w:rsidR="00B2798C">
        <w:rPr>
          <w:rFonts w:ascii="Arial" w:hAnsi="Arial" w:cs="Arial"/>
        </w:rPr>
        <w:t>b</w:t>
      </w:r>
      <w:r w:rsidR="002505A3" w:rsidRPr="00C1116A">
        <w:rPr>
          <w:rFonts w:ascii="Arial" w:hAnsi="Arial" w:cs="Arial"/>
        </w:rPr>
        <w:t xml:space="preserve">ound up with </w:t>
      </w:r>
      <w:r w:rsidR="006011A8" w:rsidRPr="00C1116A">
        <w:rPr>
          <w:rFonts w:ascii="Arial" w:hAnsi="Arial" w:cs="Arial"/>
        </w:rPr>
        <w:t xml:space="preserve">the </w:t>
      </w:r>
      <w:r w:rsidR="006011A8" w:rsidRPr="00C1116A">
        <w:rPr>
          <w:rFonts w:ascii="Arial" w:hAnsi="Arial" w:cs="Arial"/>
          <w:i/>
          <w:iCs/>
        </w:rPr>
        <w:t xml:space="preserve">naam japna </w:t>
      </w:r>
      <w:r w:rsidR="006011A8" w:rsidRPr="00C1116A">
        <w:rPr>
          <w:rFonts w:ascii="Arial" w:hAnsi="Arial" w:cs="Arial"/>
        </w:rPr>
        <w:t xml:space="preserve">(inward </w:t>
      </w:r>
      <w:r w:rsidR="002505A3" w:rsidRPr="00C1116A">
        <w:rPr>
          <w:rFonts w:ascii="Arial" w:hAnsi="Arial" w:cs="Arial"/>
        </w:rPr>
        <w:t xml:space="preserve">spiritual </w:t>
      </w:r>
      <w:r w:rsidR="006011A8" w:rsidRPr="00C1116A">
        <w:rPr>
          <w:rFonts w:ascii="Arial" w:hAnsi="Arial" w:cs="Arial"/>
        </w:rPr>
        <w:t xml:space="preserve">and meditative </w:t>
      </w:r>
      <w:r w:rsidR="002505A3" w:rsidRPr="00C1116A">
        <w:rPr>
          <w:rFonts w:ascii="Arial" w:hAnsi="Arial" w:cs="Arial"/>
        </w:rPr>
        <w:t>discipline</w:t>
      </w:r>
      <w:r w:rsidR="006011A8" w:rsidRPr="00C1116A">
        <w:rPr>
          <w:rFonts w:ascii="Arial" w:hAnsi="Arial" w:cs="Arial"/>
        </w:rPr>
        <w:t>, the first of t</w:t>
      </w:r>
      <w:r w:rsidR="00AA3107">
        <w:rPr>
          <w:rFonts w:ascii="Arial" w:hAnsi="Arial" w:cs="Arial"/>
        </w:rPr>
        <w:t xml:space="preserve">he </w:t>
      </w:r>
      <w:r w:rsidR="006011A8" w:rsidRPr="00C1116A">
        <w:rPr>
          <w:rFonts w:ascii="Arial" w:hAnsi="Arial" w:cs="Arial"/>
        </w:rPr>
        <w:t>Golden Rules).</w:t>
      </w:r>
      <w:r w:rsidR="00D92895">
        <w:rPr>
          <w:rStyle w:val="FootnoteReference"/>
          <w:rFonts w:ascii="Arial" w:hAnsi="Arial" w:cs="Arial"/>
        </w:rPr>
        <w:footnoteReference w:id="5"/>
      </w:r>
      <w:r w:rsidR="001973BF">
        <w:rPr>
          <w:rFonts w:ascii="Arial" w:hAnsi="Arial" w:cs="Arial"/>
        </w:rPr>
        <w:t xml:space="preserve"> We can derive further scriptural authority for this proposition in Guru Arjan’s reflection upon the </w:t>
      </w:r>
      <w:r w:rsidR="001973BF">
        <w:rPr>
          <w:rFonts w:ascii="Arial" w:hAnsi="Arial" w:cs="Arial"/>
          <w:i/>
          <w:iCs/>
        </w:rPr>
        <w:t xml:space="preserve">dharma </w:t>
      </w:r>
      <w:r w:rsidR="001973BF">
        <w:rPr>
          <w:rFonts w:ascii="Arial" w:hAnsi="Arial" w:cs="Arial"/>
        </w:rPr>
        <w:t>(duty or virtue):</w:t>
      </w:r>
    </w:p>
    <w:p w14:paraId="4D054210" w14:textId="77777777" w:rsidR="001973BF" w:rsidRDefault="001973BF" w:rsidP="001973BF">
      <w:pPr>
        <w:spacing w:line="480" w:lineRule="auto"/>
        <w:jc w:val="both"/>
        <w:rPr>
          <w:rFonts w:ascii="Arial" w:hAnsi="Arial" w:cs="Arial"/>
          <w:i/>
          <w:iCs/>
        </w:rPr>
      </w:pPr>
      <w:r>
        <w:rPr>
          <w:rFonts w:ascii="Arial" w:hAnsi="Arial" w:cs="Arial"/>
        </w:rPr>
        <w:t>“</w:t>
      </w:r>
      <w:r>
        <w:rPr>
          <w:rFonts w:ascii="Arial" w:hAnsi="Arial" w:cs="Arial"/>
          <w:i/>
          <w:iCs/>
        </w:rPr>
        <w:t>The highest religion among all faiths is:</w:t>
      </w:r>
    </w:p>
    <w:p w14:paraId="5DC445DD" w14:textId="77777777" w:rsidR="001973BF" w:rsidRDefault="001973BF" w:rsidP="001973BF">
      <w:pPr>
        <w:spacing w:line="480" w:lineRule="auto"/>
        <w:jc w:val="both"/>
        <w:rPr>
          <w:rFonts w:ascii="Arial" w:hAnsi="Arial" w:cs="Arial"/>
          <w:i/>
          <w:iCs/>
        </w:rPr>
      </w:pPr>
      <w:r>
        <w:rPr>
          <w:rFonts w:ascii="Arial" w:hAnsi="Arial" w:cs="Arial"/>
          <w:i/>
          <w:iCs/>
        </w:rPr>
        <w:t>Meditate on the Divine Name</w:t>
      </w:r>
    </w:p>
    <w:p w14:paraId="4A0D4675" w14:textId="764C02ED" w:rsidR="002C43A5" w:rsidRPr="00C1116A" w:rsidRDefault="001973BF" w:rsidP="00C1116A">
      <w:pPr>
        <w:spacing w:line="480" w:lineRule="auto"/>
        <w:jc w:val="both"/>
        <w:rPr>
          <w:rFonts w:ascii="Arial" w:hAnsi="Arial" w:cs="Arial"/>
        </w:rPr>
      </w:pPr>
      <w:r>
        <w:rPr>
          <w:rFonts w:ascii="Arial" w:hAnsi="Arial" w:cs="Arial"/>
          <w:i/>
          <w:iCs/>
        </w:rPr>
        <w:lastRenderedPageBreak/>
        <w:t>And stick to purity of action.</w:t>
      </w:r>
      <w:r>
        <w:rPr>
          <w:rFonts w:ascii="Arial" w:hAnsi="Arial" w:cs="Arial"/>
        </w:rPr>
        <w:t>”</w:t>
      </w:r>
      <w:r>
        <w:rPr>
          <w:rStyle w:val="FootnoteReference"/>
          <w:rFonts w:ascii="Arial" w:hAnsi="Arial" w:cs="Arial"/>
        </w:rPr>
        <w:footnoteReference w:id="6"/>
      </w:r>
    </w:p>
    <w:p w14:paraId="70C8A1D4" w14:textId="716B05B6" w:rsidR="00923586" w:rsidRDefault="002505A3" w:rsidP="00C1116A">
      <w:pPr>
        <w:spacing w:line="480" w:lineRule="auto"/>
        <w:jc w:val="both"/>
        <w:rPr>
          <w:rFonts w:ascii="Arial" w:hAnsi="Arial" w:cs="Arial"/>
        </w:rPr>
      </w:pPr>
      <w:r w:rsidRPr="00C1116A">
        <w:rPr>
          <w:rFonts w:ascii="Arial" w:hAnsi="Arial" w:cs="Arial"/>
        </w:rPr>
        <w:t xml:space="preserve">In this way, </w:t>
      </w:r>
      <w:r w:rsidR="002C43A5" w:rsidRPr="00C1116A">
        <w:rPr>
          <w:rFonts w:ascii="Arial" w:hAnsi="Arial" w:cs="Arial"/>
        </w:rPr>
        <w:t>Guru Nanak’s teachings</w:t>
      </w:r>
      <w:r w:rsidR="00D92895">
        <w:rPr>
          <w:rFonts w:ascii="Arial" w:hAnsi="Arial" w:cs="Arial"/>
        </w:rPr>
        <w:t xml:space="preserve"> p</w:t>
      </w:r>
      <w:r w:rsidRPr="00C1116A">
        <w:rPr>
          <w:rFonts w:ascii="Arial" w:hAnsi="Arial" w:cs="Arial"/>
        </w:rPr>
        <w:t>lace a</w:t>
      </w:r>
      <w:r w:rsidR="002C43A5" w:rsidRPr="00C1116A">
        <w:rPr>
          <w:rFonts w:ascii="Arial" w:hAnsi="Arial" w:cs="Arial"/>
        </w:rPr>
        <w:t xml:space="preserve"> unique responsibility upon the individual and </w:t>
      </w:r>
      <w:r w:rsidR="001611CB">
        <w:rPr>
          <w:rFonts w:ascii="Arial" w:hAnsi="Arial" w:cs="Arial"/>
        </w:rPr>
        <w:t>her</w:t>
      </w:r>
      <w:r w:rsidR="002C43A5" w:rsidRPr="00C1116A">
        <w:rPr>
          <w:rFonts w:ascii="Arial" w:hAnsi="Arial" w:cs="Arial"/>
        </w:rPr>
        <w:t xml:space="preserve"> capacity to bring about changes to </w:t>
      </w:r>
      <w:r w:rsidR="001611CB">
        <w:rPr>
          <w:rFonts w:ascii="Arial" w:hAnsi="Arial" w:cs="Arial"/>
        </w:rPr>
        <w:t>her</w:t>
      </w:r>
      <w:r w:rsidR="002C43A5" w:rsidRPr="00C1116A">
        <w:rPr>
          <w:rFonts w:ascii="Arial" w:hAnsi="Arial" w:cs="Arial"/>
        </w:rPr>
        <w:t xml:space="preserve"> own life</w:t>
      </w:r>
      <w:r w:rsidRPr="00C1116A">
        <w:rPr>
          <w:rFonts w:ascii="Arial" w:hAnsi="Arial" w:cs="Arial"/>
        </w:rPr>
        <w:t>: “With your own hands carve out your destiny”.</w:t>
      </w:r>
      <w:r w:rsidRPr="00C1116A">
        <w:rPr>
          <w:rStyle w:val="FootnoteReference"/>
          <w:rFonts w:ascii="Arial" w:hAnsi="Arial" w:cs="Arial"/>
        </w:rPr>
        <w:footnoteReference w:id="7"/>
      </w:r>
      <w:r w:rsidR="00165891" w:rsidRPr="00C1116A">
        <w:rPr>
          <w:rFonts w:ascii="Arial" w:hAnsi="Arial" w:cs="Arial"/>
        </w:rPr>
        <w:t xml:space="preserve"> This highly flexible, pragmatic but principled approach to dealing with ethical questions, which locates responsibility for the determination and resolution of such questions with the individual herself, simultaneously demonstrates an inherent and profound respect for the freedom of each individual to choose. </w:t>
      </w:r>
      <w:r w:rsidR="00D92895">
        <w:rPr>
          <w:rFonts w:ascii="Arial" w:hAnsi="Arial" w:cs="Arial"/>
        </w:rPr>
        <w:t>Accordingly, S</w:t>
      </w:r>
      <w:r w:rsidR="00165891" w:rsidRPr="00C1116A">
        <w:rPr>
          <w:rFonts w:ascii="Arial" w:hAnsi="Arial" w:cs="Arial"/>
        </w:rPr>
        <w:t>ikh jurisprudence decentralises authority and affords autonomy to each of us</w:t>
      </w:r>
      <w:r w:rsidR="00923586">
        <w:rPr>
          <w:rFonts w:ascii="Arial" w:hAnsi="Arial" w:cs="Arial"/>
        </w:rPr>
        <w:t xml:space="preserve"> to</w:t>
      </w:r>
      <w:r w:rsidR="00165891" w:rsidRPr="00C1116A">
        <w:rPr>
          <w:rFonts w:ascii="Arial" w:hAnsi="Arial" w:cs="Arial"/>
        </w:rPr>
        <w:t xml:space="preserve"> </w:t>
      </w:r>
      <w:r w:rsidR="00923586">
        <w:rPr>
          <w:rFonts w:ascii="Arial" w:hAnsi="Arial" w:cs="Arial"/>
        </w:rPr>
        <w:t>judge what is ethical in respect of potentially conflicting choices, and to act accordingly</w:t>
      </w:r>
      <w:r w:rsidR="00165891" w:rsidRPr="00C1116A">
        <w:rPr>
          <w:rFonts w:ascii="Arial" w:hAnsi="Arial" w:cs="Arial"/>
        </w:rPr>
        <w:t xml:space="preserve">. </w:t>
      </w:r>
      <w:r w:rsidR="00FC34C7">
        <w:rPr>
          <w:rFonts w:ascii="Arial" w:hAnsi="Arial" w:cs="Arial"/>
        </w:rPr>
        <w:t>We can find jurisprudential authority for this idea in Guru Nanak’s utterance:</w:t>
      </w:r>
    </w:p>
    <w:p w14:paraId="7F67D168" w14:textId="76D78A23" w:rsidR="00FC34C7" w:rsidRPr="00FC34C7" w:rsidRDefault="00FC34C7" w:rsidP="00C1116A">
      <w:pPr>
        <w:spacing w:line="480" w:lineRule="auto"/>
        <w:jc w:val="both"/>
        <w:rPr>
          <w:rFonts w:ascii="Arial" w:hAnsi="Arial" w:cs="Arial"/>
        </w:rPr>
      </w:pPr>
      <w:r>
        <w:rPr>
          <w:rFonts w:ascii="Arial" w:hAnsi="Arial" w:cs="Arial"/>
        </w:rPr>
        <w:t>“</w:t>
      </w:r>
      <w:r>
        <w:rPr>
          <w:rFonts w:ascii="Arial" w:hAnsi="Arial" w:cs="Arial"/>
          <w:i/>
          <w:iCs/>
        </w:rPr>
        <w:t>Realisation of truth is higher than all else. Higher still is truthful living</w:t>
      </w:r>
      <w:r>
        <w:rPr>
          <w:rFonts w:ascii="Arial" w:hAnsi="Arial" w:cs="Arial"/>
        </w:rPr>
        <w:t>.”</w:t>
      </w:r>
      <w:r>
        <w:rPr>
          <w:rStyle w:val="FootnoteReference"/>
          <w:rFonts w:ascii="Arial" w:hAnsi="Arial" w:cs="Arial"/>
        </w:rPr>
        <w:footnoteReference w:id="8"/>
      </w:r>
    </w:p>
    <w:p w14:paraId="58B43B41" w14:textId="3C48D0C1" w:rsidR="00FC34C7" w:rsidRPr="00C1116A" w:rsidRDefault="0043312C" w:rsidP="00C1116A">
      <w:pPr>
        <w:spacing w:line="480" w:lineRule="auto"/>
        <w:jc w:val="both"/>
        <w:rPr>
          <w:rFonts w:ascii="Arial" w:hAnsi="Arial" w:cs="Arial"/>
        </w:rPr>
      </w:pPr>
      <w:r>
        <w:rPr>
          <w:rFonts w:ascii="Arial" w:hAnsi="Arial" w:cs="Arial"/>
        </w:rPr>
        <w:t xml:space="preserve">As </w:t>
      </w:r>
      <w:r w:rsidR="00FC34C7">
        <w:rPr>
          <w:rFonts w:ascii="Arial" w:hAnsi="Arial" w:cs="Arial"/>
        </w:rPr>
        <w:t>disciples, students or seekers of truth,</w:t>
      </w:r>
      <w:r>
        <w:rPr>
          <w:rFonts w:ascii="Arial" w:hAnsi="Arial" w:cs="Arial"/>
        </w:rPr>
        <w:t xml:space="preserve"> </w:t>
      </w:r>
      <w:r w:rsidR="00FC34C7">
        <w:rPr>
          <w:rFonts w:ascii="Arial" w:hAnsi="Arial" w:cs="Arial"/>
        </w:rPr>
        <w:t>e</w:t>
      </w:r>
      <w:r>
        <w:rPr>
          <w:rFonts w:ascii="Arial" w:hAnsi="Arial" w:cs="Arial"/>
        </w:rPr>
        <w:t xml:space="preserve">very Sikh’s personal responsibility to determine how </w:t>
      </w:r>
      <w:r w:rsidR="009B3931">
        <w:rPr>
          <w:rFonts w:ascii="Arial" w:hAnsi="Arial" w:cs="Arial"/>
        </w:rPr>
        <w:t xml:space="preserve">to </w:t>
      </w:r>
      <w:r>
        <w:rPr>
          <w:rFonts w:ascii="Arial" w:hAnsi="Arial" w:cs="Arial"/>
        </w:rPr>
        <w:t>act ethically and truthfully</w:t>
      </w:r>
      <w:r w:rsidR="00FC34C7">
        <w:rPr>
          <w:rFonts w:ascii="Arial" w:hAnsi="Arial" w:cs="Arial"/>
        </w:rPr>
        <w:t xml:space="preserve"> requires them to act as</w:t>
      </w:r>
      <w:r>
        <w:rPr>
          <w:rFonts w:ascii="Arial" w:hAnsi="Arial" w:cs="Arial"/>
        </w:rPr>
        <w:t xml:space="preserve"> </w:t>
      </w:r>
      <w:r w:rsidR="00FC34C7">
        <w:rPr>
          <w:rFonts w:ascii="Arial" w:hAnsi="Arial" w:cs="Arial"/>
        </w:rPr>
        <w:t xml:space="preserve">a judge, drawing on the teachings of the Sikh Gurus, including the Guru Granth Sahib. </w:t>
      </w:r>
      <w:r w:rsidR="00165891" w:rsidRPr="00C1116A">
        <w:rPr>
          <w:rFonts w:ascii="Arial" w:hAnsi="Arial" w:cs="Arial"/>
        </w:rPr>
        <w:t>This may be seen as akin to the role of the</w:t>
      </w:r>
      <w:r w:rsidR="00FC34C7">
        <w:rPr>
          <w:rFonts w:ascii="Arial" w:hAnsi="Arial" w:cs="Arial"/>
        </w:rPr>
        <w:t xml:space="preserve"> legal</w:t>
      </w:r>
      <w:r w:rsidR="00165891" w:rsidRPr="00C1116A">
        <w:rPr>
          <w:rFonts w:ascii="Arial" w:hAnsi="Arial" w:cs="Arial"/>
        </w:rPr>
        <w:t xml:space="preserve"> judge as she interprets and applies pre-existing rules, principles and often a set of moral values to determine hard cases, and in so doing generates further rules, principles and values which form the basis for future decision-making.</w:t>
      </w:r>
      <w:r w:rsidR="00923586">
        <w:rPr>
          <w:rFonts w:ascii="Arial" w:hAnsi="Arial" w:cs="Arial"/>
        </w:rPr>
        <w:t xml:space="preserve"> </w:t>
      </w:r>
      <w:r>
        <w:rPr>
          <w:rFonts w:ascii="Arial" w:hAnsi="Arial" w:cs="Arial"/>
        </w:rPr>
        <w:t>Guiding the</w:t>
      </w:r>
      <w:r w:rsidR="00923586">
        <w:rPr>
          <w:rFonts w:ascii="Arial" w:hAnsi="Arial" w:cs="Arial"/>
        </w:rPr>
        <w:t xml:space="preserve"> judge’s </w:t>
      </w:r>
      <w:r>
        <w:rPr>
          <w:rFonts w:ascii="Arial" w:hAnsi="Arial" w:cs="Arial"/>
        </w:rPr>
        <w:t xml:space="preserve">application of </w:t>
      </w:r>
      <w:r w:rsidR="00923586">
        <w:rPr>
          <w:rFonts w:ascii="Arial" w:hAnsi="Arial" w:cs="Arial"/>
        </w:rPr>
        <w:t xml:space="preserve">those principles, rules and set of moral values </w:t>
      </w:r>
      <w:r>
        <w:rPr>
          <w:rFonts w:ascii="Arial" w:hAnsi="Arial" w:cs="Arial"/>
        </w:rPr>
        <w:t xml:space="preserve">is the concern to do justice with regard to the facts of every individual case. </w:t>
      </w:r>
    </w:p>
    <w:p w14:paraId="42278050" w14:textId="6E970AA2" w:rsidR="00721C6D" w:rsidRPr="00C1116A" w:rsidRDefault="00721C6D" w:rsidP="00C1116A">
      <w:pPr>
        <w:spacing w:line="480" w:lineRule="auto"/>
        <w:jc w:val="both"/>
        <w:rPr>
          <w:rFonts w:ascii="Arial" w:hAnsi="Arial" w:cs="Arial"/>
          <w:b/>
          <w:bCs/>
        </w:rPr>
      </w:pPr>
      <w:r w:rsidRPr="00C1116A">
        <w:rPr>
          <w:rFonts w:ascii="Arial" w:hAnsi="Arial" w:cs="Arial"/>
          <w:b/>
          <w:bCs/>
        </w:rPr>
        <w:t xml:space="preserve">The View of Justice </w:t>
      </w:r>
      <w:r w:rsidR="00B236A3" w:rsidRPr="00C1116A">
        <w:rPr>
          <w:rFonts w:ascii="Arial" w:hAnsi="Arial" w:cs="Arial"/>
          <w:b/>
          <w:bCs/>
        </w:rPr>
        <w:t>(</w:t>
      </w:r>
      <w:r w:rsidR="003C6395" w:rsidRPr="00923586">
        <w:rPr>
          <w:rFonts w:ascii="Arial" w:hAnsi="Arial" w:cs="Arial"/>
          <w:b/>
          <w:bCs/>
          <w:i/>
          <w:iCs/>
        </w:rPr>
        <w:t>T</w:t>
      </w:r>
      <w:r w:rsidR="00B236A3" w:rsidRPr="00923586">
        <w:rPr>
          <w:rFonts w:ascii="Arial" w:hAnsi="Arial" w:cs="Arial"/>
          <w:b/>
          <w:bCs/>
          <w:i/>
          <w:iCs/>
        </w:rPr>
        <w:t>apāvas</w:t>
      </w:r>
      <w:r w:rsidR="00B236A3" w:rsidRPr="00C1116A">
        <w:rPr>
          <w:rFonts w:ascii="Arial" w:hAnsi="Arial" w:cs="Arial"/>
          <w:b/>
          <w:bCs/>
        </w:rPr>
        <w:t xml:space="preserve">) </w:t>
      </w:r>
      <w:r w:rsidRPr="00C1116A">
        <w:rPr>
          <w:rFonts w:ascii="Arial" w:hAnsi="Arial" w:cs="Arial"/>
          <w:b/>
          <w:bCs/>
        </w:rPr>
        <w:t>in Sikhi</w:t>
      </w:r>
    </w:p>
    <w:p w14:paraId="337FE409" w14:textId="03A72A79" w:rsidR="00E30B8E" w:rsidRPr="00C1116A" w:rsidRDefault="00E30B8E" w:rsidP="00C1116A">
      <w:pPr>
        <w:spacing w:line="480" w:lineRule="auto"/>
        <w:jc w:val="both"/>
        <w:rPr>
          <w:rFonts w:ascii="Arial" w:hAnsi="Arial" w:cs="Arial"/>
          <w:i/>
          <w:iCs/>
        </w:rPr>
      </w:pPr>
      <w:r w:rsidRPr="00C1116A">
        <w:rPr>
          <w:rFonts w:ascii="Arial" w:hAnsi="Arial" w:cs="Arial"/>
          <w:i/>
          <w:iCs/>
        </w:rPr>
        <w:t>1</w:t>
      </w:r>
      <w:r w:rsidR="00B2798C">
        <w:rPr>
          <w:rFonts w:ascii="Arial" w:hAnsi="Arial" w:cs="Arial"/>
          <w:i/>
          <w:iCs/>
        </w:rPr>
        <w:t>.</w:t>
      </w:r>
      <w:r w:rsidRPr="00C1116A">
        <w:rPr>
          <w:rFonts w:ascii="Arial" w:hAnsi="Arial" w:cs="Arial"/>
          <w:i/>
          <w:iCs/>
        </w:rPr>
        <w:t xml:space="preserve"> Justice as </w:t>
      </w:r>
      <w:r w:rsidR="0067572C" w:rsidRPr="00C1116A">
        <w:rPr>
          <w:rFonts w:ascii="Arial" w:hAnsi="Arial" w:cs="Arial"/>
          <w:i/>
          <w:iCs/>
        </w:rPr>
        <w:t>social equality</w:t>
      </w:r>
    </w:p>
    <w:p w14:paraId="7175756C" w14:textId="063E7535" w:rsidR="005C666C" w:rsidRPr="00C1116A" w:rsidRDefault="003C6395" w:rsidP="00C1116A">
      <w:pPr>
        <w:spacing w:line="480" w:lineRule="auto"/>
        <w:jc w:val="both"/>
        <w:rPr>
          <w:rFonts w:ascii="Arial" w:hAnsi="Arial" w:cs="Arial"/>
        </w:rPr>
      </w:pPr>
      <w:r w:rsidRPr="00C1116A">
        <w:rPr>
          <w:rFonts w:ascii="Arial" w:hAnsi="Arial" w:cs="Arial"/>
        </w:rPr>
        <w:lastRenderedPageBreak/>
        <w:t>Sikhi’s exposition of the virtue of justice demonstrates a clear connection to the concept of social equality.</w:t>
      </w:r>
      <w:r w:rsidR="00D92895">
        <w:rPr>
          <w:rStyle w:val="FootnoteReference"/>
          <w:rFonts w:ascii="Arial" w:hAnsi="Arial" w:cs="Arial"/>
        </w:rPr>
        <w:footnoteReference w:id="9"/>
      </w:r>
      <w:r w:rsidRPr="00C1116A">
        <w:rPr>
          <w:rFonts w:ascii="Arial" w:hAnsi="Arial" w:cs="Arial"/>
        </w:rPr>
        <w:t xml:space="preserve"> The necessary implication of the Gurus’ teachings is that laws which fail to protect social equality must therefore be unjust laws. </w:t>
      </w:r>
      <w:r w:rsidR="003337C9" w:rsidRPr="00C1116A">
        <w:rPr>
          <w:rFonts w:ascii="Arial" w:hAnsi="Arial" w:cs="Arial"/>
        </w:rPr>
        <w:t xml:space="preserve">By the same reasoning, a society which prioritises or fails to address socio-economic inequality must be considered at root an unjust society. </w:t>
      </w:r>
      <w:r w:rsidR="005C666C" w:rsidRPr="00C1116A">
        <w:rPr>
          <w:rFonts w:ascii="Arial" w:hAnsi="Arial" w:cs="Arial"/>
        </w:rPr>
        <w:t xml:space="preserve">The wide-ranging societal critique which Sikh jurisprudence is capable of offering demonstrates why it must be viewed more broadly than mere legal philosophy. </w:t>
      </w:r>
    </w:p>
    <w:p w14:paraId="1233DDD0" w14:textId="05B40BA3" w:rsidR="003C6395" w:rsidRPr="00C1116A" w:rsidRDefault="003C6395" w:rsidP="00C1116A">
      <w:pPr>
        <w:spacing w:line="480" w:lineRule="auto"/>
        <w:jc w:val="both"/>
        <w:rPr>
          <w:rFonts w:ascii="Arial" w:hAnsi="Arial" w:cs="Arial"/>
        </w:rPr>
      </w:pPr>
      <w:r w:rsidRPr="00C1116A">
        <w:rPr>
          <w:rFonts w:ascii="Arial" w:hAnsi="Arial" w:cs="Arial"/>
        </w:rPr>
        <w:t>The centrality of social equality to the virtue of justice forms the basis for the rejection of the caste system</w:t>
      </w:r>
      <w:r w:rsidR="00D3714C" w:rsidRPr="00C1116A">
        <w:rPr>
          <w:rFonts w:ascii="Arial" w:hAnsi="Arial" w:cs="Arial"/>
        </w:rPr>
        <w:t xml:space="preserve"> as the supreme instantiation of inequality.</w:t>
      </w:r>
      <w:r w:rsidR="00CC0372">
        <w:rPr>
          <w:rStyle w:val="FootnoteReference"/>
          <w:rFonts w:ascii="Arial" w:hAnsi="Arial" w:cs="Arial"/>
        </w:rPr>
        <w:footnoteReference w:id="10"/>
      </w:r>
      <w:r w:rsidR="00D3714C" w:rsidRPr="00C1116A">
        <w:rPr>
          <w:rFonts w:ascii="Arial" w:hAnsi="Arial" w:cs="Arial"/>
        </w:rPr>
        <w:t xml:space="preserve"> </w:t>
      </w:r>
      <w:r w:rsidR="003337C9" w:rsidRPr="00C1116A">
        <w:rPr>
          <w:rFonts w:ascii="Arial" w:hAnsi="Arial" w:cs="Arial"/>
        </w:rPr>
        <w:t xml:space="preserve">With the rejection of the caste system comes the rejection of the </w:t>
      </w:r>
      <w:r w:rsidR="003337C9" w:rsidRPr="00C1116A">
        <w:rPr>
          <w:rFonts w:ascii="Arial" w:hAnsi="Arial" w:cs="Arial"/>
          <w:i/>
          <w:iCs/>
        </w:rPr>
        <w:t>dharmic</w:t>
      </w:r>
      <w:r w:rsidR="003337C9" w:rsidRPr="00C1116A">
        <w:rPr>
          <w:rFonts w:ascii="Arial" w:hAnsi="Arial" w:cs="Arial"/>
        </w:rPr>
        <w:t xml:space="preserve"> conception of other Indian traditions which distinguish between the pursuit of “specialised virtues” of particular castes as part of their moral obligations.</w:t>
      </w:r>
      <w:r w:rsidR="003337C9" w:rsidRPr="00C1116A">
        <w:rPr>
          <w:rStyle w:val="FootnoteReference"/>
          <w:rFonts w:ascii="Arial" w:hAnsi="Arial" w:cs="Arial"/>
        </w:rPr>
        <w:footnoteReference w:id="11"/>
      </w:r>
      <w:r w:rsidR="003337C9" w:rsidRPr="00C1116A">
        <w:rPr>
          <w:rFonts w:ascii="Arial" w:hAnsi="Arial" w:cs="Arial"/>
        </w:rPr>
        <w:t xml:space="preserve"> </w:t>
      </w:r>
    </w:p>
    <w:p w14:paraId="1AE96954" w14:textId="3CC9DDE2" w:rsidR="000E3F4A" w:rsidRDefault="001973BF" w:rsidP="00C1116A">
      <w:pPr>
        <w:spacing w:line="480" w:lineRule="auto"/>
        <w:jc w:val="both"/>
        <w:rPr>
          <w:rFonts w:ascii="Arial" w:hAnsi="Arial" w:cs="Arial"/>
        </w:rPr>
      </w:pPr>
      <w:r>
        <w:rPr>
          <w:rFonts w:ascii="Arial" w:hAnsi="Arial" w:cs="Arial"/>
        </w:rPr>
        <w:t xml:space="preserve">Just as </w:t>
      </w:r>
      <w:r w:rsidR="00AC303D" w:rsidRPr="00C1116A">
        <w:rPr>
          <w:rFonts w:ascii="Arial" w:hAnsi="Arial" w:cs="Arial"/>
        </w:rPr>
        <w:t xml:space="preserve">the Gurus </w:t>
      </w:r>
      <w:r>
        <w:rPr>
          <w:rFonts w:ascii="Arial" w:hAnsi="Arial" w:cs="Arial"/>
        </w:rPr>
        <w:t>rejected</w:t>
      </w:r>
      <w:r w:rsidR="00AC303D" w:rsidRPr="00C1116A">
        <w:rPr>
          <w:rFonts w:ascii="Arial" w:hAnsi="Arial" w:cs="Arial"/>
        </w:rPr>
        <w:t xml:space="preserve"> the caste system as </w:t>
      </w:r>
      <w:r w:rsidR="0075182C" w:rsidRPr="00C1116A">
        <w:rPr>
          <w:rFonts w:ascii="Arial" w:hAnsi="Arial" w:cs="Arial"/>
        </w:rPr>
        <w:t>offending against the notion of social equality, and therefore justice</w:t>
      </w:r>
      <w:r w:rsidR="00AC303D" w:rsidRPr="00C1116A">
        <w:rPr>
          <w:rFonts w:ascii="Arial" w:hAnsi="Arial" w:cs="Arial"/>
        </w:rPr>
        <w:t xml:space="preserve">, we may </w:t>
      </w:r>
      <w:r w:rsidR="008248B7">
        <w:rPr>
          <w:rFonts w:ascii="Arial" w:hAnsi="Arial" w:cs="Arial"/>
        </w:rPr>
        <w:t xml:space="preserve">reflect upon the implications of this jurisprudential view for the various hierarchal structures </w:t>
      </w:r>
      <w:r w:rsidR="00AC303D" w:rsidRPr="00C1116A">
        <w:rPr>
          <w:rFonts w:ascii="Arial" w:hAnsi="Arial" w:cs="Arial"/>
        </w:rPr>
        <w:t>which dominate contemporary Western society.</w:t>
      </w:r>
      <w:r w:rsidR="008248B7">
        <w:rPr>
          <w:rFonts w:ascii="Arial" w:hAnsi="Arial" w:cs="Arial"/>
        </w:rPr>
        <w:t xml:space="preserve"> </w:t>
      </w:r>
      <w:r w:rsidR="00DD742A" w:rsidRPr="00C1116A">
        <w:rPr>
          <w:rFonts w:ascii="Arial" w:hAnsi="Arial" w:cs="Arial"/>
        </w:rPr>
        <w:t xml:space="preserve">In particular, </w:t>
      </w:r>
      <w:r w:rsidR="008248B7">
        <w:rPr>
          <w:rFonts w:ascii="Arial" w:hAnsi="Arial" w:cs="Arial"/>
        </w:rPr>
        <w:t xml:space="preserve">it is argued that </w:t>
      </w:r>
      <w:r w:rsidR="00DD742A" w:rsidRPr="00C1116A">
        <w:rPr>
          <w:rFonts w:ascii="Arial" w:hAnsi="Arial" w:cs="Arial"/>
        </w:rPr>
        <w:t xml:space="preserve">the Sikh view of justice would problematise the English class-system which designates groups of people as “working class”, “middle class” and “upper class”, and the consequential hindrances to social mobility </w:t>
      </w:r>
      <w:r w:rsidR="00E24965" w:rsidRPr="00C1116A">
        <w:rPr>
          <w:rFonts w:ascii="Arial" w:hAnsi="Arial" w:cs="Arial"/>
        </w:rPr>
        <w:t xml:space="preserve">that such division engenders. </w:t>
      </w:r>
    </w:p>
    <w:p w14:paraId="0E8C0A6B" w14:textId="275205E3" w:rsidR="00A647B5" w:rsidRDefault="00E24965" w:rsidP="00C1116A">
      <w:pPr>
        <w:spacing w:line="480" w:lineRule="auto"/>
        <w:jc w:val="both"/>
        <w:rPr>
          <w:rFonts w:ascii="Arial" w:hAnsi="Arial" w:cs="Arial"/>
        </w:rPr>
      </w:pPr>
      <w:r w:rsidRPr="00C1116A">
        <w:rPr>
          <w:rFonts w:ascii="Arial" w:hAnsi="Arial" w:cs="Arial"/>
        </w:rPr>
        <w:t xml:space="preserve">The entrenched and unjust </w:t>
      </w:r>
      <w:r w:rsidR="008248B7">
        <w:rPr>
          <w:rFonts w:ascii="Arial" w:hAnsi="Arial" w:cs="Arial"/>
        </w:rPr>
        <w:t xml:space="preserve">consequences brought about by </w:t>
      </w:r>
      <w:r w:rsidRPr="00C1116A">
        <w:rPr>
          <w:rFonts w:ascii="Arial" w:hAnsi="Arial" w:cs="Arial"/>
        </w:rPr>
        <w:t xml:space="preserve">this system can be seen in the woeful under-representation of </w:t>
      </w:r>
      <w:r w:rsidR="008248B7">
        <w:rPr>
          <w:rFonts w:ascii="Arial" w:hAnsi="Arial" w:cs="Arial"/>
        </w:rPr>
        <w:t xml:space="preserve">“working-class” and </w:t>
      </w:r>
      <w:r w:rsidR="00735378" w:rsidRPr="00C1116A">
        <w:rPr>
          <w:rFonts w:ascii="Arial" w:hAnsi="Arial" w:cs="Arial"/>
        </w:rPr>
        <w:t xml:space="preserve">ethnic minority groups at elite institutions such as </w:t>
      </w:r>
      <w:r w:rsidR="00A647B5">
        <w:rPr>
          <w:rFonts w:ascii="Arial" w:hAnsi="Arial" w:cs="Arial"/>
        </w:rPr>
        <w:t xml:space="preserve">the Universities of </w:t>
      </w:r>
      <w:r w:rsidR="00735378" w:rsidRPr="00C1116A">
        <w:rPr>
          <w:rFonts w:ascii="Arial" w:hAnsi="Arial" w:cs="Arial"/>
        </w:rPr>
        <w:t>Oxford and Cambridge</w:t>
      </w:r>
      <w:r w:rsidR="008248B7">
        <w:rPr>
          <w:rFonts w:ascii="Arial" w:hAnsi="Arial" w:cs="Arial"/>
        </w:rPr>
        <w:t>, in professional politics, the law, business, the media, and even in the rarefied celebrity worlds of the arts and sports.</w:t>
      </w:r>
      <w:r w:rsidR="008248B7">
        <w:rPr>
          <w:rStyle w:val="FootnoteReference"/>
          <w:rFonts w:ascii="Arial" w:hAnsi="Arial" w:cs="Arial"/>
        </w:rPr>
        <w:footnoteReference w:id="12"/>
      </w:r>
      <w:r w:rsidR="008248B7">
        <w:rPr>
          <w:rFonts w:ascii="Arial" w:hAnsi="Arial" w:cs="Arial"/>
        </w:rPr>
        <w:t xml:space="preserve"> </w:t>
      </w:r>
      <w:r w:rsidR="00854BF7">
        <w:rPr>
          <w:rFonts w:ascii="Arial" w:hAnsi="Arial" w:cs="Arial"/>
        </w:rPr>
        <w:t>For instance, i</w:t>
      </w:r>
      <w:r w:rsidR="00DC074A" w:rsidRPr="00C1116A">
        <w:rPr>
          <w:rFonts w:ascii="Arial" w:hAnsi="Arial" w:cs="Arial"/>
        </w:rPr>
        <w:t xml:space="preserve">t is </w:t>
      </w:r>
      <w:r w:rsidR="00DC074A" w:rsidRPr="00C1116A">
        <w:rPr>
          <w:rFonts w:ascii="Arial" w:hAnsi="Arial" w:cs="Arial"/>
        </w:rPr>
        <w:lastRenderedPageBreak/>
        <w:t>instructive to note that of the last ten British prime ministers, seven attended Oxford University,</w:t>
      </w:r>
      <w:r w:rsidR="00DC074A" w:rsidRPr="00C1116A">
        <w:rPr>
          <w:rStyle w:val="FootnoteReference"/>
          <w:rFonts w:ascii="Arial" w:hAnsi="Arial" w:cs="Arial"/>
        </w:rPr>
        <w:footnoteReference w:id="13"/>
      </w:r>
      <w:r w:rsidR="00DC074A" w:rsidRPr="00C1116A">
        <w:rPr>
          <w:rFonts w:ascii="Arial" w:hAnsi="Arial" w:cs="Arial"/>
        </w:rPr>
        <w:t xml:space="preserve"> whilst nearly two-thirds of the current cabinet were privately educated.</w:t>
      </w:r>
      <w:r w:rsidR="00DC074A" w:rsidRPr="00C1116A">
        <w:rPr>
          <w:rStyle w:val="FootnoteReference"/>
          <w:rFonts w:ascii="Arial" w:hAnsi="Arial" w:cs="Arial"/>
        </w:rPr>
        <w:footnoteReference w:id="14"/>
      </w:r>
      <w:r w:rsidR="00DC074A" w:rsidRPr="00C1116A">
        <w:rPr>
          <w:rFonts w:ascii="Arial" w:hAnsi="Arial" w:cs="Arial"/>
        </w:rPr>
        <w:t xml:space="preserve"> </w:t>
      </w:r>
    </w:p>
    <w:p w14:paraId="7EA8B7EC" w14:textId="6501D363" w:rsidR="00DD742A" w:rsidRPr="00C1116A" w:rsidRDefault="00854BF7" w:rsidP="00C1116A">
      <w:pPr>
        <w:spacing w:line="480" w:lineRule="auto"/>
        <w:jc w:val="both"/>
        <w:rPr>
          <w:rFonts w:ascii="Arial" w:hAnsi="Arial" w:cs="Arial"/>
        </w:rPr>
      </w:pPr>
      <w:r>
        <w:rPr>
          <w:rFonts w:ascii="Arial" w:hAnsi="Arial" w:cs="Arial"/>
        </w:rPr>
        <w:t xml:space="preserve">Analysis of social mobility at the Bar and of the composition of the senior ranks of the judiciary produces another set of skewed statistics. </w:t>
      </w:r>
      <w:r w:rsidR="00A647B5">
        <w:rPr>
          <w:rFonts w:ascii="Arial" w:hAnsi="Arial" w:cs="Arial"/>
        </w:rPr>
        <w:t>D</w:t>
      </w:r>
      <w:r w:rsidR="000E3F4A">
        <w:rPr>
          <w:rFonts w:ascii="Arial" w:hAnsi="Arial" w:cs="Arial"/>
        </w:rPr>
        <w:t xml:space="preserve">ata collected by the Bar Standards Board for 2018 shows a disproportionate number of barristers having attended a UK independent school between the ages of 11 </w:t>
      </w:r>
      <w:r w:rsidR="00A647B5">
        <w:rPr>
          <w:rFonts w:ascii="Arial" w:hAnsi="Arial" w:cs="Arial"/>
        </w:rPr>
        <w:t>and</w:t>
      </w:r>
      <w:r w:rsidR="000E3F4A">
        <w:rPr>
          <w:rFonts w:ascii="Arial" w:hAnsi="Arial" w:cs="Arial"/>
        </w:rPr>
        <w:t xml:space="preserve"> 18</w:t>
      </w:r>
      <w:r w:rsidR="00224BD3">
        <w:rPr>
          <w:rFonts w:ascii="Arial" w:hAnsi="Arial" w:cs="Arial"/>
        </w:rPr>
        <w:t xml:space="preserve"> (of the 47 per cent that answered)</w:t>
      </w:r>
      <w:r w:rsidR="000E3F4A">
        <w:rPr>
          <w:rFonts w:ascii="Arial" w:hAnsi="Arial" w:cs="Arial"/>
        </w:rPr>
        <w:t>, with statistical disparities existing across the other principal characteristics also.</w:t>
      </w:r>
      <w:r w:rsidR="000E3F4A">
        <w:rPr>
          <w:rStyle w:val="FootnoteReference"/>
          <w:rFonts w:ascii="Arial" w:hAnsi="Arial" w:cs="Arial"/>
        </w:rPr>
        <w:footnoteReference w:id="15"/>
      </w:r>
      <w:r w:rsidR="000E3F4A">
        <w:rPr>
          <w:rFonts w:ascii="Arial" w:hAnsi="Arial" w:cs="Arial"/>
        </w:rPr>
        <w:t xml:space="preserve"> In relation to the judiciary, the figures appear </w:t>
      </w:r>
      <w:r w:rsidR="00224BD3">
        <w:rPr>
          <w:rFonts w:ascii="Arial" w:hAnsi="Arial" w:cs="Arial"/>
        </w:rPr>
        <w:t xml:space="preserve">even </w:t>
      </w:r>
      <w:r w:rsidR="000E3F4A">
        <w:rPr>
          <w:rFonts w:ascii="Arial" w:hAnsi="Arial" w:cs="Arial"/>
        </w:rPr>
        <w:t>more exaggerated</w:t>
      </w:r>
      <w:r w:rsidR="00224BD3">
        <w:rPr>
          <w:rFonts w:ascii="Arial" w:hAnsi="Arial" w:cs="Arial"/>
        </w:rPr>
        <w:t>,</w:t>
      </w:r>
      <w:r w:rsidR="000E3F4A">
        <w:rPr>
          <w:rFonts w:ascii="Arial" w:hAnsi="Arial" w:cs="Arial"/>
        </w:rPr>
        <w:t xml:space="preserve"> with </w:t>
      </w:r>
      <w:r w:rsidR="001931C7">
        <w:rPr>
          <w:rFonts w:ascii="Arial" w:hAnsi="Arial" w:cs="Arial"/>
        </w:rPr>
        <w:t>nearly three-quarters</w:t>
      </w:r>
      <w:r>
        <w:rPr>
          <w:rFonts w:ascii="Arial" w:hAnsi="Arial" w:cs="Arial"/>
        </w:rPr>
        <w:t xml:space="preserve"> of the senior judiciary</w:t>
      </w:r>
      <w:r w:rsidR="000E3F4A">
        <w:rPr>
          <w:rFonts w:ascii="Arial" w:hAnsi="Arial" w:cs="Arial"/>
        </w:rPr>
        <w:t xml:space="preserve"> having</w:t>
      </w:r>
      <w:r>
        <w:rPr>
          <w:rFonts w:ascii="Arial" w:hAnsi="Arial" w:cs="Arial"/>
        </w:rPr>
        <w:t xml:space="preserve"> attended independent schools</w:t>
      </w:r>
      <w:r w:rsidR="001931C7">
        <w:rPr>
          <w:rFonts w:ascii="Arial" w:hAnsi="Arial" w:cs="Arial"/>
        </w:rPr>
        <w:t>.</w:t>
      </w:r>
      <w:r w:rsidR="001931C7">
        <w:rPr>
          <w:rStyle w:val="FootnoteReference"/>
          <w:rFonts w:ascii="Arial" w:hAnsi="Arial" w:cs="Arial"/>
        </w:rPr>
        <w:footnoteReference w:id="16"/>
      </w:r>
      <w:r w:rsidR="001931C7">
        <w:rPr>
          <w:rFonts w:ascii="Arial" w:hAnsi="Arial" w:cs="Arial"/>
        </w:rPr>
        <w:t xml:space="preserve"> </w:t>
      </w:r>
      <w:r w:rsidR="00D6061D" w:rsidRPr="00C1116A">
        <w:rPr>
          <w:rFonts w:ascii="Arial" w:hAnsi="Arial" w:cs="Arial"/>
        </w:rPr>
        <w:t>A class-based system of social relations, which is the ultimate expression of inequality,</w:t>
      </w:r>
      <w:r w:rsidR="00DC074A" w:rsidRPr="00C1116A">
        <w:rPr>
          <w:rFonts w:ascii="Arial" w:hAnsi="Arial" w:cs="Arial"/>
        </w:rPr>
        <w:t xml:space="preserve"> </w:t>
      </w:r>
      <w:r w:rsidR="00D6061D" w:rsidRPr="00C1116A">
        <w:rPr>
          <w:rFonts w:ascii="Arial" w:hAnsi="Arial" w:cs="Arial"/>
        </w:rPr>
        <w:t>ensures</w:t>
      </w:r>
      <w:r w:rsidR="00DC074A" w:rsidRPr="00C1116A">
        <w:rPr>
          <w:rFonts w:ascii="Arial" w:hAnsi="Arial" w:cs="Arial"/>
        </w:rPr>
        <w:t xml:space="preserve"> </w:t>
      </w:r>
      <w:r w:rsidR="00D6061D" w:rsidRPr="00C1116A">
        <w:rPr>
          <w:rFonts w:ascii="Arial" w:hAnsi="Arial" w:cs="Arial"/>
        </w:rPr>
        <w:t>future</w:t>
      </w:r>
      <w:r w:rsidR="00DC074A" w:rsidRPr="00C1116A">
        <w:rPr>
          <w:rFonts w:ascii="Arial" w:hAnsi="Arial" w:cs="Arial"/>
        </w:rPr>
        <w:t xml:space="preserve"> inequality. </w:t>
      </w:r>
    </w:p>
    <w:p w14:paraId="5EC458FC" w14:textId="32F7F4A3" w:rsidR="0059425D" w:rsidRPr="00C1116A" w:rsidRDefault="007114E5" w:rsidP="00C1116A">
      <w:pPr>
        <w:spacing w:line="480" w:lineRule="auto"/>
        <w:jc w:val="both"/>
        <w:rPr>
          <w:rFonts w:ascii="Arial" w:hAnsi="Arial" w:cs="Arial"/>
        </w:rPr>
      </w:pPr>
      <w:r w:rsidRPr="00C1116A">
        <w:rPr>
          <w:rFonts w:ascii="Arial" w:hAnsi="Arial" w:cs="Arial"/>
        </w:rPr>
        <w:t>In general, however, the UK is one of the most unequal Western societies, with one of the highest Gini coefficients in Europe.</w:t>
      </w:r>
      <w:r w:rsidRPr="00C1116A">
        <w:rPr>
          <w:rStyle w:val="FootnoteReference"/>
          <w:rFonts w:ascii="Arial" w:hAnsi="Arial" w:cs="Arial"/>
        </w:rPr>
        <w:footnoteReference w:id="17"/>
      </w:r>
      <w:r w:rsidRPr="00C1116A">
        <w:rPr>
          <w:rFonts w:ascii="Arial" w:hAnsi="Arial" w:cs="Arial"/>
        </w:rPr>
        <w:t xml:space="preserve"> So rapidly has economic inequality grown since the ushering in of neoliberal capitalism that the UK risks following the US with its extreme inequality levels in “pay, wealth and health”.</w:t>
      </w:r>
      <w:r w:rsidR="00D76E1B" w:rsidRPr="00C1116A">
        <w:rPr>
          <w:rStyle w:val="FootnoteReference"/>
          <w:rFonts w:ascii="Arial" w:hAnsi="Arial" w:cs="Arial"/>
        </w:rPr>
        <w:footnoteReference w:id="18"/>
      </w:r>
      <w:r w:rsidR="0059425D" w:rsidRPr="00C1116A">
        <w:rPr>
          <w:rFonts w:ascii="Arial" w:hAnsi="Arial" w:cs="Arial"/>
        </w:rPr>
        <w:t xml:space="preserve"> The endless indictments of socio-economic inequality in the UK</w:t>
      </w:r>
      <w:r w:rsidR="008A64F1">
        <w:rPr>
          <w:rFonts w:ascii="Arial" w:hAnsi="Arial" w:cs="Arial"/>
        </w:rPr>
        <w:t xml:space="preserve">, </w:t>
      </w:r>
      <w:r w:rsidR="0059425D" w:rsidRPr="00C1116A">
        <w:rPr>
          <w:rFonts w:ascii="Arial" w:hAnsi="Arial" w:cs="Arial"/>
        </w:rPr>
        <w:t xml:space="preserve">in the form of reports of UN rapporteurs, thinktanks, non-governmental </w:t>
      </w:r>
      <w:r w:rsidR="0059425D" w:rsidRPr="00C1116A">
        <w:rPr>
          <w:rFonts w:ascii="Arial" w:hAnsi="Arial" w:cs="Arial"/>
        </w:rPr>
        <w:lastRenderedPageBreak/>
        <w:t>organisations</w:t>
      </w:r>
      <w:r w:rsidR="008A64F1">
        <w:rPr>
          <w:rFonts w:ascii="Arial" w:hAnsi="Arial" w:cs="Arial"/>
        </w:rPr>
        <w:t xml:space="preserve"> and others,</w:t>
      </w:r>
      <w:r w:rsidR="00CC0372">
        <w:rPr>
          <w:rStyle w:val="FootnoteReference"/>
          <w:rFonts w:ascii="Arial" w:hAnsi="Arial" w:cs="Arial"/>
        </w:rPr>
        <w:footnoteReference w:id="19"/>
      </w:r>
      <w:r w:rsidR="0059425D" w:rsidRPr="00C1116A">
        <w:rPr>
          <w:rFonts w:ascii="Arial" w:hAnsi="Arial" w:cs="Arial"/>
        </w:rPr>
        <w:t xml:space="preserve"> must be as concerning as violations of civil and political rights for human rights practitioners and legal theorists who posit the indivisibility of human rights</w:t>
      </w:r>
      <w:r w:rsidR="000D0FF1" w:rsidRPr="00C1116A">
        <w:rPr>
          <w:rFonts w:ascii="Arial" w:hAnsi="Arial" w:cs="Arial"/>
        </w:rPr>
        <w:t xml:space="preserve">. Indeed, without adequate protection of socio-economic rights, it is often impossible to exercise civil and political rights in any meaningful sense. </w:t>
      </w:r>
    </w:p>
    <w:p w14:paraId="229ECC51" w14:textId="243E1CB0" w:rsidR="00D6061D" w:rsidRPr="00C1116A" w:rsidRDefault="0059425D" w:rsidP="00C1116A">
      <w:pPr>
        <w:spacing w:line="480" w:lineRule="auto"/>
        <w:jc w:val="both"/>
        <w:rPr>
          <w:rFonts w:ascii="Arial" w:hAnsi="Arial" w:cs="Arial"/>
        </w:rPr>
      </w:pPr>
      <w:r w:rsidRPr="00C1116A">
        <w:rPr>
          <w:rFonts w:ascii="Arial" w:hAnsi="Arial" w:cs="Arial"/>
        </w:rPr>
        <w:t>Since 1945, social, economic and cultural rights have found expression in UN and regional human rights conventions, as well as in states’ constitutional frameworks.</w:t>
      </w:r>
      <w:r w:rsidR="001973BF">
        <w:rPr>
          <w:rStyle w:val="FootnoteReference"/>
          <w:rFonts w:ascii="Arial" w:hAnsi="Arial" w:cs="Arial"/>
        </w:rPr>
        <w:footnoteReference w:id="20"/>
      </w:r>
      <w:r w:rsidRPr="00C1116A">
        <w:rPr>
          <w:rFonts w:ascii="Arial" w:hAnsi="Arial" w:cs="Arial"/>
        </w:rPr>
        <w:t xml:space="preserve"> However, the </w:t>
      </w:r>
      <w:r w:rsidR="00224BD3">
        <w:rPr>
          <w:rFonts w:ascii="Arial" w:hAnsi="Arial" w:cs="Arial"/>
        </w:rPr>
        <w:t xml:space="preserve">lack of </w:t>
      </w:r>
      <w:r w:rsidRPr="00C1116A">
        <w:rPr>
          <w:rFonts w:ascii="Arial" w:hAnsi="Arial" w:cs="Arial"/>
        </w:rPr>
        <w:t xml:space="preserve">justiciability and consequent judicial protection of such rights has lagged far behind the lofty ambitions of their framers. </w:t>
      </w:r>
      <w:r w:rsidR="005C191C" w:rsidRPr="00C1116A">
        <w:rPr>
          <w:rFonts w:ascii="Arial" w:hAnsi="Arial" w:cs="Arial"/>
        </w:rPr>
        <w:t>The “progressive realisation” caveat built into the framework for the protection of social, economic and cultural rights,</w:t>
      </w:r>
      <w:r w:rsidR="001973BF">
        <w:rPr>
          <w:rStyle w:val="FootnoteReference"/>
          <w:rFonts w:ascii="Arial" w:hAnsi="Arial" w:cs="Arial"/>
        </w:rPr>
        <w:footnoteReference w:id="21"/>
      </w:r>
      <w:r w:rsidR="005C191C" w:rsidRPr="00C1116A">
        <w:rPr>
          <w:rFonts w:ascii="Arial" w:hAnsi="Arial" w:cs="Arial"/>
        </w:rPr>
        <w:t xml:space="preserve"> at best, makes political excuse </w:t>
      </w:r>
      <w:r w:rsidR="00FA71CF" w:rsidRPr="00C1116A">
        <w:rPr>
          <w:rFonts w:ascii="Arial" w:hAnsi="Arial" w:cs="Arial"/>
        </w:rPr>
        <w:t>for</w:t>
      </w:r>
      <w:r w:rsidR="005C191C" w:rsidRPr="00C1116A">
        <w:rPr>
          <w:rFonts w:ascii="Arial" w:hAnsi="Arial" w:cs="Arial"/>
        </w:rPr>
        <w:t xml:space="preserve"> inaction possible, and at worst, enables social vandalism of </w:t>
      </w:r>
      <w:r w:rsidR="00FA71CF" w:rsidRPr="00C1116A">
        <w:rPr>
          <w:rFonts w:ascii="Arial" w:hAnsi="Arial" w:cs="Arial"/>
        </w:rPr>
        <w:t>the institutions designed to protect the weakest and most vulnerable in society</w:t>
      </w:r>
      <w:r w:rsidR="005C191C" w:rsidRPr="00C1116A">
        <w:rPr>
          <w:rFonts w:ascii="Arial" w:hAnsi="Arial" w:cs="Arial"/>
        </w:rPr>
        <w:t xml:space="preserve">. </w:t>
      </w:r>
      <w:r w:rsidR="000D0FF1" w:rsidRPr="00C1116A">
        <w:rPr>
          <w:rFonts w:ascii="Arial" w:hAnsi="Arial" w:cs="Arial"/>
        </w:rPr>
        <w:t xml:space="preserve">In this context, </w:t>
      </w:r>
      <w:r w:rsidR="00FA71CF" w:rsidRPr="00C1116A">
        <w:rPr>
          <w:rFonts w:ascii="Arial" w:hAnsi="Arial" w:cs="Arial"/>
        </w:rPr>
        <w:t>Sikh jurisprudence</w:t>
      </w:r>
      <w:r w:rsidR="001C201B" w:rsidRPr="00C1116A">
        <w:rPr>
          <w:rFonts w:ascii="Arial" w:hAnsi="Arial" w:cs="Arial"/>
        </w:rPr>
        <w:t xml:space="preserve">, and more particularly the virtue of justice, </w:t>
      </w:r>
      <w:r w:rsidR="00FA71CF" w:rsidRPr="00C1116A">
        <w:rPr>
          <w:rFonts w:ascii="Arial" w:hAnsi="Arial" w:cs="Arial"/>
        </w:rPr>
        <w:t>allows a searching light to be cast upon our social structures and institutions</w:t>
      </w:r>
      <w:r w:rsidR="001C201B" w:rsidRPr="00C1116A">
        <w:rPr>
          <w:rFonts w:ascii="Arial" w:hAnsi="Arial" w:cs="Arial"/>
        </w:rPr>
        <w:t xml:space="preserve">, and reveals their defects and inadequacies. </w:t>
      </w:r>
    </w:p>
    <w:p w14:paraId="28D0D81C" w14:textId="0B9FF3F9" w:rsidR="001C201B" w:rsidRDefault="001C201B" w:rsidP="00C1116A">
      <w:pPr>
        <w:spacing w:line="480" w:lineRule="auto"/>
        <w:jc w:val="both"/>
        <w:rPr>
          <w:rFonts w:ascii="Arial" w:hAnsi="Arial" w:cs="Arial"/>
        </w:rPr>
      </w:pPr>
      <w:r w:rsidRPr="00C1116A">
        <w:rPr>
          <w:rFonts w:ascii="Arial" w:hAnsi="Arial" w:cs="Arial"/>
        </w:rPr>
        <w:t>The UK’s non-compliance with its international obligations under the UN Convention on the Rights of Persons with Disabilities</w:t>
      </w:r>
      <w:r w:rsidR="0074435B" w:rsidRPr="00C1116A">
        <w:rPr>
          <w:rFonts w:ascii="Arial" w:hAnsi="Arial" w:cs="Arial"/>
        </w:rPr>
        <w:t xml:space="preserve"> across a range of areas, including education, work, housing, health, transport, and social security perhaps epitomises the </w:t>
      </w:r>
      <w:r w:rsidR="004400AB" w:rsidRPr="00C1116A">
        <w:rPr>
          <w:rFonts w:ascii="Arial" w:hAnsi="Arial" w:cs="Arial"/>
        </w:rPr>
        <w:t>nature and degree</w:t>
      </w:r>
      <w:r w:rsidR="0074435B" w:rsidRPr="00C1116A">
        <w:rPr>
          <w:rFonts w:ascii="Arial" w:hAnsi="Arial" w:cs="Arial"/>
        </w:rPr>
        <w:t xml:space="preserve"> of structural inequality in the UK.</w:t>
      </w:r>
      <w:r w:rsidR="002005EE" w:rsidRPr="00C1116A">
        <w:rPr>
          <w:rStyle w:val="FootnoteReference"/>
          <w:rFonts w:ascii="Arial" w:hAnsi="Arial" w:cs="Arial"/>
        </w:rPr>
        <w:footnoteReference w:id="22"/>
      </w:r>
      <w:r w:rsidR="0074435B" w:rsidRPr="00C1116A">
        <w:rPr>
          <w:rFonts w:ascii="Arial" w:hAnsi="Arial" w:cs="Arial"/>
        </w:rPr>
        <w:t xml:space="preserve"> </w:t>
      </w:r>
      <w:r w:rsidR="00BA404D" w:rsidRPr="00C1116A">
        <w:rPr>
          <w:rFonts w:ascii="Arial" w:hAnsi="Arial" w:cs="Arial"/>
        </w:rPr>
        <w:t>With the imposition of austerity in the UK since 2010, th</w:t>
      </w:r>
      <w:r w:rsidR="002005EE" w:rsidRPr="00C1116A">
        <w:rPr>
          <w:rFonts w:ascii="Arial" w:hAnsi="Arial" w:cs="Arial"/>
        </w:rPr>
        <w:t xml:space="preserve">e most vulnerable have suffered the worst deprivations. As </w:t>
      </w:r>
      <w:r w:rsidR="00B2798C">
        <w:rPr>
          <w:rFonts w:ascii="Arial" w:hAnsi="Arial" w:cs="Arial"/>
        </w:rPr>
        <w:t xml:space="preserve">the </w:t>
      </w:r>
      <w:r w:rsidR="008A64F1">
        <w:rPr>
          <w:rFonts w:ascii="Arial" w:hAnsi="Arial" w:cs="Arial"/>
        </w:rPr>
        <w:t xml:space="preserve">rate of </w:t>
      </w:r>
      <w:r w:rsidR="002005EE" w:rsidRPr="00C1116A">
        <w:rPr>
          <w:rFonts w:ascii="Arial" w:hAnsi="Arial" w:cs="Arial"/>
        </w:rPr>
        <w:t xml:space="preserve">street homelessness, as well </w:t>
      </w:r>
      <w:r w:rsidR="002005EE" w:rsidRPr="00C1116A">
        <w:rPr>
          <w:rFonts w:ascii="Arial" w:hAnsi="Arial" w:cs="Arial"/>
        </w:rPr>
        <w:lastRenderedPageBreak/>
        <w:t xml:space="preserve">as the number of households in temporary accommodation, has </w:t>
      </w:r>
      <w:r w:rsidR="00BD4D17" w:rsidRPr="00C1116A">
        <w:rPr>
          <w:rFonts w:ascii="Arial" w:hAnsi="Arial" w:cs="Arial"/>
        </w:rPr>
        <w:t xml:space="preserve">massively </w:t>
      </w:r>
      <w:r w:rsidR="002005EE" w:rsidRPr="00C1116A">
        <w:rPr>
          <w:rFonts w:ascii="Arial" w:hAnsi="Arial" w:cs="Arial"/>
        </w:rPr>
        <w:t xml:space="preserve">increased </w:t>
      </w:r>
      <w:r w:rsidR="00E029DD" w:rsidRPr="00C1116A">
        <w:rPr>
          <w:rFonts w:ascii="Arial" w:hAnsi="Arial" w:cs="Arial"/>
        </w:rPr>
        <w:t xml:space="preserve">over that </w:t>
      </w:r>
      <w:r w:rsidR="00BD4D17" w:rsidRPr="00C1116A">
        <w:rPr>
          <w:rFonts w:ascii="Arial" w:hAnsi="Arial" w:cs="Arial"/>
        </w:rPr>
        <w:t>same period,</w:t>
      </w:r>
      <w:r w:rsidR="001973BF">
        <w:rPr>
          <w:rStyle w:val="FootnoteReference"/>
          <w:rFonts w:ascii="Arial" w:hAnsi="Arial" w:cs="Arial"/>
        </w:rPr>
        <w:footnoteReference w:id="23"/>
      </w:r>
      <w:r w:rsidR="00BD4D17" w:rsidRPr="00C1116A">
        <w:rPr>
          <w:rFonts w:ascii="Arial" w:hAnsi="Arial" w:cs="Arial"/>
        </w:rPr>
        <w:t xml:space="preserve"> the law extends substantive protection only to those lucky enough to be categorised as having a “priority need” for housing, requiring the demonstration of not merely poverty</w:t>
      </w:r>
      <w:r w:rsidR="003B69D0" w:rsidRPr="00C1116A">
        <w:rPr>
          <w:rFonts w:ascii="Arial" w:hAnsi="Arial" w:cs="Arial"/>
        </w:rPr>
        <w:t>,</w:t>
      </w:r>
      <w:r w:rsidR="00BD4D17" w:rsidRPr="00C1116A">
        <w:rPr>
          <w:rFonts w:ascii="Arial" w:hAnsi="Arial" w:cs="Arial"/>
        </w:rPr>
        <w:t xml:space="preserve"> but vulnerability</w:t>
      </w:r>
      <w:r w:rsidR="003B69D0" w:rsidRPr="00C1116A">
        <w:rPr>
          <w:rFonts w:ascii="Arial" w:hAnsi="Arial" w:cs="Arial"/>
        </w:rPr>
        <w:t xml:space="preserve"> as compared against the ordinary person if made homeless</w:t>
      </w:r>
      <w:r w:rsidR="00BD4D17" w:rsidRPr="00C1116A">
        <w:rPr>
          <w:rFonts w:ascii="Arial" w:hAnsi="Arial" w:cs="Arial"/>
        </w:rPr>
        <w:t>.</w:t>
      </w:r>
      <w:r w:rsidR="00BD4D17" w:rsidRPr="00C1116A">
        <w:rPr>
          <w:rStyle w:val="FootnoteReference"/>
          <w:rFonts w:ascii="Arial" w:hAnsi="Arial" w:cs="Arial"/>
        </w:rPr>
        <w:footnoteReference w:id="24"/>
      </w:r>
      <w:r w:rsidR="00BD4D17" w:rsidRPr="00C1116A">
        <w:rPr>
          <w:rFonts w:ascii="Arial" w:hAnsi="Arial" w:cs="Arial"/>
        </w:rPr>
        <w:t xml:space="preserve"> The failure to provide suitable alternative homes to </w:t>
      </w:r>
      <w:r w:rsidR="007C58C6">
        <w:rPr>
          <w:rFonts w:ascii="Arial" w:hAnsi="Arial" w:cs="Arial"/>
        </w:rPr>
        <w:t xml:space="preserve">many of </w:t>
      </w:r>
      <w:r w:rsidR="00BD4D17" w:rsidRPr="00C1116A">
        <w:rPr>
          <w:rFonts w:ascii="Arial" w:hAnsi="Arial" w:cs="Arial"/>
        </w:rPr>
        <w:t xml:space="preserve">those rendered homeless as a result of the Grenfell Tower fire in two and a half years underlines the </w:t>
      </w:r>
      <w:r w:rsidR="003B69D0" w:rsidRPr="00C1116A">
        <w:rPr>
          <w:rFonts w:ascii="Arial" w:hAnsi="Arial" w:cs="Arial"/>
        </w:rPr>
        <w:t>scale of the challenge to structure our rules</w:t>
      </w:r>
      <w:r w:rsidR="006C37B5" w:rsidRPr="00C1116A">
        <w:rPr>
          <w:rFonts w:ascii="Arial" w:hAnsi="Arial" w:cs="Arial"/>
        </w:rPr>
        <w:t xml:space="preserve"> </w:t>
      </w:r>
      <w:r w:rsidR="003B69D0" w:rsidRPr="00C1116A">
        <w:rPr>
          <w:rFonts w:ascii="Arial" w:hAnsi="Arial" w:cs="Arial"/>
        </w:rPr>
        <w:t>and institutions around the ideal of justice and social equality.</w:t>
      </w:r>
      <w:r w:rsidR="00CC0372">
        <w:rPr>
          <w:rStyle w:val="FootnoteReference"/>
          <w:rFonts w:ascii="Arial" w:hAnsi="Arial" w:cs="Arial"/>
        </w:rPr>
        <w:footnoteReference w:id="25"/>
      </w:r>
    </w:p>
    <w:p w14:paraId="111BC4FF" w14:textId="21E4B99E" w:rsidR="0051221A" w:rsidRPr="00C1116A" w:rsidRDefault="00B2798C" w:rsidP="00C1116A">
      <w:pPr>
        <w:spacing w:line="480" w:lineRule="auto"/>
        <w:jc w:val="both"/>
        <w:rPr>
          <w:rFonts w:ascii="Arial" w:hAnsi="Arial" w:cs="Arial"/>
        </w:rPr>
      </w:pPr>
      <w:r>
        <w:rPr>
          <w:rFonts w:ascii="Arial" w:hAnsi="Arial" w:cs="Arial"/>
        </w:rPr>
        <w:t>By contrast, t</w:t>
      </w:r>
      <w:r w:rsidR="0051221A">
        <w:rPr>
          <w:rFonts w:ascii="Arial" w:hAnsi="Arial" w:cs="Arial"/>
        </w:rPr>
        <w:t>he Sikh conception of justice as social equality</w:t>
      </w:r>
      <w:r>
        <w:rPr>
          <w:rFonts w:ascii="Arial" w:hAnsi="Arial" w:cs="Arial"/>
        </w:rPr>
        <w:t xml:space="preserve"> </w:t>
      </w:r>
      <w:r w:rsidR="0051221A">
        <w:rPr>
          <w:rFonts w:ascii="Arial" w:hAnsi="Arial" w:cs="Arial"/>
        </w:rPr>
        <w:t>exposes inequality and demands justification for existence. More generally, it is argued that a consequence of viewing justice as social equality requires the justification of hierarchy. Those hierarchies which cannot be justified on the grounds of promoting the wellbeing of those at the bottom cannot be justified. In this way, it is suggested that Sikh jurisprudence exhibits parallels with the Rawlsian view of justice as fairness (and particularly Rawls’ principle of equality which consists of</w:t>
      </w:r>
      <w:r w:rsidR="00061824">
        <w:rPr>
          <w:rFonts w:ascii="Arial" w:hAnsi="Arial" w:cs="Arial"/>
        </w:rPr>
        <w:t xml:space="preserve"> the principles of difference and of fair equality of opportunity).</w:t>
      </w:r>
      <w:r w:rsidR="00061824">
        <w:rPr>
          <w:rStyle w:val="FootnoteReference"/>
          <w:rFonts w:ascii="Arial" w:hAnsi="Arial" w:cs="Arial"/>
        </w:rPr>
        <w:footnoteReference w:id="26"/>
      </w:r>
    </w:p>
    <w:p w14:paraId="3C36A165" w14:textId="627E2E1E" w:rsidR="0016427E" w:rsidRPr="006C0B50" w:rsidRDefault="00732984" w:rsidP="00C1116A">
      <w:pPr>
        <w:spacing w:line="480" w:lineRule="auto"/>
        <w:jc w:val="both"/>
        <w:rPr>
          <w:rFonts w:ascii="Arial" w:hAnsi="Arial" w:cs="Arial"/>
          <w:i/>
          <w:iCs/>
        </w:rPr>
      </w:pPr>
      <w:r w:rsidRPr="006C0B50">
        <w:rPr>
          <w:rFonts w:ascii="Arial" w:hAnsi="Arial" w:cs="Arial"/>
          <w:i/>
          <w:iCs/>
        </w:rPr>
        <w:t>2</w:t>
      </w:r>
      <w:r w:rsidR="00B2798C">
        <w:rPr>
          <w:rFonts w:ascii="Arial" w:hAnsi="Arial" w:cs="Arial"/>
          <w:i/>
          <w:iCs/>
        </w:rPr>
        <w:t>.</w:t>
      </w:r>
      <w:r w:rsidRPr="006C0B50">
        <w:rPr>
          <w:rFonts w:ascii="Arial" w:hAnsi="Arial" w:cs="Arial"/>
          <w:i/>
          <w:iCs/>
        </w:rPr>
        <w:t xml:space="preserve"> Justice as respect for the rights of others</w:t>
      </w:r>
      <w:r w:rsidR="006540C8" w:rsidRPr="006C0B50">
        <w:rPr>
          <w:rFonts w:ascii="Arial" w:hAnsi="Arial" w:cs="Arial"/>
          <w:i/>
          <w:iCs/>
        </w:rPr>
        <w:t xml:space="preserve"> and non-exploitation</w:t>
      </w:r>
    </w:p>
    <w:p w14:paraId="53F17A4F" w14:textId="1921AE9E" w:rsidR="00732984" w:rsidRPr="00C1116A" w:rsidRDefault="00732984" w:rsidP="00C1116A">
      <w:pPr>
        <w:spacing w:line="480" w:lineRule="auto"/>
        <w:jc w:val="both"/>
        <w:rPr>
          <w:rFonts w:ascii="Arial" w:hAnsi="Arial" w:cs="Arial"/>
        </w:rPr>
      </w:pPr>
      <w:r w:rsidRPr="00C1116A">
        <w:rPr>
          <w:rFonts w:ascii="Arial" w:hAnsi="Arial" w:cs="Arial"/>
        </w:rPr>
        <w:t xml:space="preserve">The </w:t>
      </w:r>
      <w:r w:rsidR="002251BF" w:rsidRPr="00C1116A">
        <w:rPr>
          <w:rFonts w:ascii="Arial" w:hAnsi="Arial" w:cs="Arial"/>
        </w:rPr>
        <w:t>Sikh</w:t>
      </w:r>
      <w:r w:rsidRPr="00C1116A">
        <w:rPr>
          <w:rFonts w:ascii="Arial" w:hAnsi="Arial" w:cs="Arial"/>
        </w:rPr>
        <w:t xml:space="preserve"> view of justice places an equally important emphasis upon the rights of others, and may be seen in Guruk Nanak’s ethical injunction:</w:t>
      </w:r>
    </w:p>
    <w:p w14:paraId="681FEEEE" w14:textId="71CB2A15" w:rsidR="00732984" w:rsidRPr="00C1116A" w:rsidRDefault="00732984" w:rsidP="00C1116A">
      <w:pPr>
        <w:spacing w:line="480" w:lineRule="auto"/>
        <w:jc w:val="both"/>
        <w:rPr>
          <w:rFonts w:ascii="Arial" w:hAnsi="Arial" w:cs="Arial"/>
        </w:rPr>
      </w:pPr>
      <w:r w:rsidRPr="00C1116A">
        <w:rPr>
          <w:rFonts w:ascii="Arial" w:hAnsi="Arial" w:cs="Arial"/>
        </w:rPr>
        <w:t>“</w:t>
      </w:r>
      <w:r w:rsidRPr="00C1116A">
        <w:rPr>
          <w:rFonts w:ascii="Arial" w:hAnsi="Arial" w:cs="Arial"/>
          <w:i/>
          <w:iCs/>
        </w:rPr>
        <w:t>to deprive others of their rights ought to be avoided as scrupulously as the Muslims avoid the pork and the Hindus consider beef as a taboo.</w:t>
      </w:r>
      <w:r w:rsidRPr="00C1116A">
        <w:rPr>
          <w:rFonts w:ascii="Arial" w:hAnsi="Arial" w:cs="Arial"/>
        </w:rPr>
        <w:t>”</w:t>
      </w:r>
      <w:r w:rsidRPr="00C1116A">
        <w:rPr>
          <w:rStyle w:val="FootnoteReference"/>
          <w:rFonts w:ascii="Arial" w:hAnsi="Arial" w:cs="Arial"/>
        </w:rPr>
        <w:footnoteReference w:id="27"/>
      </w:r>
    </w:p>
    <w:p w14:paraId="1A1A6224" w14:textId="2255E53F" w:rsidR="00732984" w:rsidRPr="00C1116A" w:rsidRDefault="00732984" w:rsidP="00C1116A">
      <w:pPr>
        <w:spacing w:line="480" w:lineRule="auto"/>
        <w:jc w:val="both"/>
        <w:rPr>
          <w:rFonts w:ascii="Arial" w:hAnsi="Arial" w:cs="Arial"/>
        </w:rPr>
      </w:pPr>
      <w:r w:rsidRPr="00C1116A">
        <w:rPr>
          <w:rFonts w:ascii="Arial" w:hAnsi="Arial" w:cs="Arial"/>
        </w:rPr>
        <w:t>In extending this moral consideration, Guru Nanak states:</w:t>
      </w:r>
    </w:p>
    <w:p w14:paraId="54486313" w14:textId="0CB211BB" w:rsidR="00732984" w:rsidRPr="00C1116A" w:rsidRDefault="00732984" w:rsidP="00C1116A">
      <w:pPr>
        <w:spacing w:line="480" w:lineRule="auto"/>
        <w:jc w:val="both"/>
        <w:rPr>
          <w:rFonts w:ascii="Arial" w:hAnsi="Arial" w:cs="Arial"/>
        </w:rPr>
      </w:pPr>
      <w:r w:rsidRPr="00C1116A">
        <w:rPr>
          <w:rFonts w:ascii="Arial" w:hAnsi="Arial" w:cs="Arial"/>
        </w:rPr>
        <w:lastRenderedPageBreak/>
        <w:t>“</w:t>
      </w:r>
      <w:r w:rsidRPr="00C1116A">
        <w:rPr>
          <w:rFonts w:ascii="Arial" w:hAnsi="Arial" w:cs="Arial"/>
          <w:i/>
          <w:iCs/>
        </w:rPr>
        <w:t>the Guru stands by thee if thou usurpest not one another’s due</w:t>
      </w:r>
      <w:r w:rsidRPr="00C1116A">
        <w:rPr>
          <w:rFonts w:ascii="Arial" w:hAnsi="Arial" w:cs="Arial"/>
        </w:rPr>
        <w:t>.”</w:t>
      </w:r>
      <w:r w:rsidRPr="00C1116A">
        <w:rPr>
          <w:rStyle w:val="FootnoteReference"/>
          <w:rFonts w:ascii="Arial" w:hAnsi="Arial" w:cs="Arial"/>
        </w:rPr>
        <w:footnoteReference w:id="28"/>
      </w:r>
    </w:p>
    <w:p w14:paraId="34D286DB" w14:textId="51F58D7E" w:rsidR="00732984" w:rsidRPr="00C1116A" w:rsidRDefault="00F111C5" w:rsidP="00C1116A">
      <w:pPr>
        <w:spacing w:line="480" w:lineRule="auto"/>
        <w:jc w:val="both"/>
        <w:rPr>
          <w:rFonts w:ascii="Arial" w:hAnsi="Arial" w:cs="Arial"/>
        </w:rPr>
      </w:pPr>
      <w:r w:rsidRPr="00C1116A">
        <w:rPr>
          <w:rFonts w:ascii="Arial" w:hAnsi="Arial" w:cs="Arial"/>
        </w:rPr>
        <w:t xml:space="preserve">We may </w:t>
      </w:r>
      <w:r w:rsidR="008F5A13" w:rsidRPr="00C1116A">
        <w:rPr>
          <w:rFonts w:ascii="Arial" w:hAnsi="Arial" w:cs="Arial"/>
        </w:rPr>
        <w:t xml:space="preserve">similarly </w:t>
      </w:r>
      <w:r w:rsidRPr="00C1116A">
        <w:rPr>
          <w:rFonts w:ascii="Arial" w:hAnsi="Arial" w:cs="Arial"/>
        </w:rPr>
        <w:t>question, as above</w:t>
      </w:r>
      <w:r w:rsidR="00A66FA9" w:rsidRPr="00C1116A">
        <w:rPr>
          <w:rFonts w:ascii="Arial" w:hAnsi="Arial" w:cs="Arial"/>
        </w:rPr>
        <w:t xml:space="preserve">, </w:t>
      </w:r>
      <w:r w:rsidRPr="00C1116A">
        <w:rPr>
          <w:rFonts w:ascii="Arial" w:hAnsi="Arial" w:cs="Arial"/>
        </w:rPr>
        <w:t xml:space="preserve">what conclusions </w:t>
      </w:r>
      <w:r w:rsidR="00A66FA9" w:rsidRPr="00C1116A">
        <w:rPr>
          <w:rFonts w:ascii="Arial" w:hAnsi="Arial" w:cs="Arial"/>
        </w:rPr>
        <w:t xml:space="preserve">can be drawn from </w:t>
      </w:r>
      <w:r w:rsidRPr="00C1116A">
        <w:rPr>
          <w:rFonts w:ascii="Arial" w:hAnsi="Arial" w:cs="Arial"/>
        </w:rPr>
        <w:t>the application of th</w:t>
      </w:r>
      <w:r w:rsidR="00956A23">
        <w:rPr>
          <w:rFonts w:ascii="Arial" w:hAnsi="Arial" w:cs="Arial"/>
        </w:rPr>
        <w:t>is second facet of the</w:t>
      </w:r>
      <w:r w:rsidR="00A66FA9" w:rsidRPr="00C1116A">
        <w:rPr>
          <w:rFonts w:ascii="Arial" w:hAnsi="Arial" w:cs="Arial"/>
        </w:rPr>
        <w:t xml:space="preserve"> </w:t>
      </w:r>
      <w:r w:rsidR="002251BF" w:rsidRPr="00C1116A">
        <w:rPr>
          <w:rFonts w:ascii="Arial" w:hAnsi="Arial" w:cs="Arial"/>
        </w:rPr>
        <w:t>Sikh</w:t>
      </w:r>
      <w:r w:rsidRPr="00C1116A">
        <w:rPr>
          <w:rFonts w:ascii="Arial" w:hAnsi="Arial" w:cs="Arial"/>
        </w:rPr>
        <w:t xml:space="preserve"> jurisprudential notion of justice </w:t>
      </w:r>
      <w:r w:rsidR="00A66FA9" w:rsidRPr="00C1116A">
        <w:rPr>
          <w:rFonts w:ascii="Arial" w:hAnsi="Arial" w:cs="Arial"/>
        </w:rPr>
        <w:t xml:space="preserve">to the present situation of social inequality in the UK. </w:t>
      </w:r>
      <w:r w:rsidR="008F5A13" w:rsidRPr="00C1116A">
        <w:rPr>
          <w:rFonts w:ascii="Arial" w:hAnsi="Arial" w:cs="Arial"/>
        </w:rPr>
        <w:t xml:space="preserve">No doubt the inadequacy of substantive socio-economic protections, and the way in which they have been further undermined during the years of austerity, would offend against the second ethical requirement inherent in the notion of justice to have respect for the rights of others. </w:t>
      </w:r>
    </w:p>
    <w:p w14:paraId="50C26426" w14:textId="01610DA7" w:rsidR="006C6096" w:rsidRDefault="008F5A13" w:rsidP="00C1116A">
      <w:pPr>
        <w:spacing w:line="480" w:lineRule="auto"/>
        <w:jc w:val="both"/>
        <w:rPr>
          <w:rFonts w:ascii="Arial" w:hAnsi="Arial" w:cs="Arial"/>
        </w:rPr>
      </w:pPr>
      <w:r w:rsidRPr="00C1116A">
        <w:rPr>
          <w:rFonts w:ascii="Arial" w:hAnsi="Arial" w:cs="Arial"/>
        </w:rPr>
        <w:t>However,</w:t>
      </w:r>
      <w:r w:rsidR="00064F6D">
        <w:rPr>
          <w:rFonts w:ascii="Arial" w:hAnsi="Arial" w:cs="Arial"/>
        </w:rPr>
        <w:t xml:space="preserve"> this second facet of justice affords us a further tool to critique the removal of pre-existing rights, not simply the failure to treat people as social equals. For instance, </w:t>
      </w:r>
      <w:r w:rsidR="006C6096">
        <w:rPr>
          <w:rFonts w:ascii="Arial" w:hAnsi="Arial" w:cs="Arial"/>
        </w:rPr>
        <w:t xml:space="preserve">as “judges” of ethical and truthful action, we can apply the </w:t>
      </w:r>
      <w:r w:rsidR="00064F6D">
        <w:rPr>
          <w:rFonts w:ascii="Arial" w:hAnsi="Arial" w:cs="Arial"/>
        </w:rPr>
        <w:t xml:space="preserve">view of justice as respect for the rights of others </w:t>
      </w:r>
      <w:r w:rsidR="006C6096">
        <w:rPr>
          <w:rFonts w:ascii="Arial" w:hAnsi="Arial" w:cs="Arial"/>
        </w:rPr>
        <w:t>to assess not only deprivation caused by failing to treat others in society as social equals, but</w:t>
      </w:r>
      <w:r w:rsidR="008A64F1">
        <w:rPr>
          <w:rFonts w:ascii="Arial" w:hAnsi="Arial" w:cs="Arial"/>
        </w:rPr>
        <w:t xml:space="preserve"> also</w:t>
      </w:r>
      <w:r w:rsidR="006C6096">
        <w:rPr>
          <w:rFonts w:ascii="Arial" w:hAnsi="Arial" w:cs="Arial"/>
        </w:rPr>
        <w:t xml:space="preserve"> the </w:t>
      </w:r>
      <w:r w:rsidRPr="00C1116A">
        <w:rPr>
          <w:rFonts w:ascii="Arial" w:hAnsi="Arial" w:cs="Arial"/>
        </w:rPr>
        <w:t>s</w:t>
      </w:r>
      <w:r w:rsidR="00EE15E5" w:rsidRPr="00C1116A">
        <w:rPr>
          <w:rFonts w:ascii="Arial" w:hAnsi="Arial" w:cs="Arial"/>
        </w:rPr>
        <w:t xml:space="preserve">imultaneous assaults on legal aid by which the vulnerable may seek to vindicate their </w:t>
      </w:r>
      <w:r w:rsidRPr="00C1116A">
        <w:rPr>
          <w:rFonts w:ascii="Arial" w:hAnsi="Arial" w:cs="Arial"/>
        </w:rPr>
        <w:t xml:space="preserve">already beleaguered </w:t>
      </w:r>
      <w:r w:rsidR="00EE15E5" w:rsidRPr="00C1116A">
        <w:rPr>
          <w:rFonts w:ascii="Arial" w:hAnsi="Arial" w:cs="Arial"/>
        </w:rPr>
        <w:t>rights and entitlements</w:t>
      </w:r>
      <w:r w:rsidR="006C6096">
        <w:rPr>
          <w:rFonts w:ascii="Arial" w:hAnsi="Arial" w:cs="Arial"/>
        </w:rPr>
        <w:t>.</w:t>
      </w:r>
      <w:r w:rsidR="0016427E" w:rsidRPr="00C1116A">
        <w:rPr>
          <w:rFonts w:ascii="Arial" w:hAnsi="Arial" w:cs="Arial"/>
        </w:rPr>
        <w:t xml:space="preserve"> </w:t>
      </w:r>
      <w:r w:rsidR="006C6096">
        <w:rPr>
          <w:rFonts w:ascii="Arial" w:hAnsi="Arial" w:cs="Arial"/>
        </w:rPr>
        <w:t xml:space="preserve">The hollowing out of legal aid may be seen as particularly significant as its lack of availability </w:t>
      </w:r>
      <w:r w:rsidR="0016427E" w:rsidRPr="00C1116A">
        <w:rPr>
          <w:rFonts w:ascii="Arial" w:hAnsi="Arial" w:cs="Arial"/>
        </w:rPr>
        <w:t>renders hollow the fundamental concept of access to justice</w:t>
      </w:r>
      <w:r w:rsidR="006C6096">
        <w:rPr>
          <w:rFonts w:ascii="Arial" w:hAnsi="Arial" w:cs="Arial"/>
        </w:rPr>
        <w:t xml:space="preserve">. </w:t>
      </w:r>
    </w:p>
    <w:p w14:paraId="7486F6F6" w14:textId="56F20095" w:rsidR="00741AB6" w:rsidRPr="00C1116A" w:rsidRDefault="006C6096" w:rsidP="00C1116A">
      <w:pPr>
        <w:spacing w:line="480" w:lineRule="auto"/>
        <w:jc w:val="both"/>
        <w:rPr>
          <w:rFonts w:ascii="Arial" w:hAnsi="Arial" w:cs="Arial"/>
        </w:rPr>
      </w:pPr>
      <w:r>
        <w:rPr>
          <w:rFonts w:ascii="Arial" w:hAnsi="Arial" w:cs="Arial"/>
        </w:rPr>
        <w:t xml:space="preserve">It is argued that the deprivation of the very means by which the vulnerable may assert their substantive rights </w:t>
      </w:r>
      <w:r w:rsidR="008F5A13" w:rsidRPr="00C1116A">
        <w:rPr>
          <w:rFonts w:ascii="Arial" w:hAnsi="Arial" w:cs="Arial"/>
        </w:rPr>
        <w:t xml:space="preserve">would represent a particularly egregious form of moral transgression from the </w:t>
      </w:r>
      <w:r w:rsidR="002251BF" w:rsidRPr="00C1116A">
        <w:rPr>
          <w:rFonts w:ascii="Arial" w:hAnsi="Arial" w:cs="Arial"/>
        </w:rPr>
        <w:t>Sikh</w:t>
      </w:r>
      <w:r w:rsidR="008F5A13" w:rsidRPr="00C1116A">
        <w:rPr>
          <w:rFonts w:ascii="Arial" w:hAnsi="Arial" w:cs="Arial"/>
        </w:rPr>
        <w:t xml:space="preserve"> jurisprudential view of justice. This is because attacks on the procedural right </w:t>
      </w:r>
      <w:r w:rsidR="002251BF" w:rsidRPr="00C1116A">
        <w:rPr>
          <w:rFonts w:ascii="Arial" w:hAnsi="Arial" w:cs="Arial"/>
        </w:rPr>
        <w:t xml:space="preserve">of access to justice make any and all substantive rights illusory, leaving the vulnerable </w:t>
      </w:r>
      <w:r w:rsidR="003E6188">
        <w:rPr>
          <w:rFonts w:ascii="Arial" w:hAnsi="Arial" w:cs="Arial"/>
        </w:rPr>
        <w:t xml:space="preserve">all but </w:t>
      </w:r>
      <w:r w:rsidR="002251BF" w:rsidRPr="00C1116A">
        <w:rPr>
          <w:rFonts w:ascii="Arial" w:hAnsi="Arial" w:cs="Arial"/>
        </w:rPr>
        <w:t>defenceless. The Sikh notion of justice would</w:t>
      </w:r>
      <w:r w:rsidR="003E6188">
        <w:rPr>
          <w:rFonts w:ascii="Arial" w:hAnsi="Arial" w:cs="Arial"/>
        </w:rPr>
        <w:t xml:space="preserve"> therefore</w:t>
      </w:r>
      <w:r w:rsidR="002251BF" w:rsidRPr="00C1116A">
        <w:rPr>
          <w:rFonts w:ascii="Arial" w:hAnsi="Arial" w:cs="Arial"/>
        </w:rPr>
        <w:t xml:space="preserve"> be directly opposed</w:t>
      </w:r>
      <w:r w:rsidR="006540C8" w:rsidRPr="00C1116A">
        <w:rPr>
          <w:rFonts w:ascii="Arial" w:hAnsi="Arial" w:cs="Arial"/>
        </w:rPr>
        <w:t xml:space="preserve"> to</w:t>
      </w:r>
      <w:r w:rsidR="003E6188">
        <w:rPr>
          <w:rFonts w:ascii="Arial" w:hAnsi="Arial" w:cs="Arial"/>
        </w:rPr>
        <w:t xml:space="preserve"> </w:t>
      </w:r>
      <w:r w:rsidR="002251BF" w:rsidRPr="00C1116A">
        <w:rPr>
          <w:rFonts w:ascii="Arial" w:hAnsi="Arial" w:cs="Arial"/>
        </w:rPr>
        <w:t xml:space="preserve">suggestions that </w:t>
      </w:r>
      <w:r w:rsidR="00192565" w:rsidRPr="00C1116A">
        <w:rPr>
          <w:rFonts w:ascii="Arial" w:hAnsi="Arial" w:cs="Arial"/>
        </w:rPr>
        <w:t>the state’s funding of criminal legal aid was essential</w:t>
      </w:r>
      <w:r w:rsidR="003E6188">
        <w:rPr>
          <w:rFonts w:ascii="Arial" w:hAnsi="Arial" w:cs="Arial"/>
        </w:rPr>
        <w:t>,</w:t>
      </w:r>
      <w:r w:rsidR="00192565" w:rsidRPr="00C1116A">
        <w:rPr>
          <w:rFonts w:ascii="Arial" w:hAnsi="Arial" w:cs="Arial"/>
        </w:rPr>
        <w:t xml:space="preserve"> but “discretionary” or “optional” for civil matters.</w:t>
      </w:r>
      <w:r w:rsidR="00192565" w:rsidRPr="00C1116A">
        <w:rPr>
          <w:rStyle w:val="FootnoteReference"/>
          <w:rFonts w:ascii="Arial" w:hAnsi="Arial" w:cs="Arial"/>
        </w:rPr>
        <w:footnoteReference w:id="29"/>
      </w:r>
      <w:r w:rsidR="00192565" w:rsidRPr="00C1116A">
        <w:rPr>
          <w:rFonts w:ascii="Arial" w:hAnsi="Arial" w:cs="Arial"/>
        </w:rPr>
        <w:t xml:space="preserve"> </w:t>
      </w:r>
    </w:p>
    <w:p w14:paraId="5A2A4CDC" w14:textId="12FA3714" w:rsidR="006A26E7" w:rsidRPr="00C1116A" w:rsidRDefault="006A26E7" w:rsidP="00C1116A">
      <w:pPr>
        <w:spacing w:line="480" w:lineRule="auto"/>
        <w:jc w:val="both"/>
        <w:rPr>
          <w:rFonts w:ascii="Arial" w:hAnsi="Arial" w:cs="Arial"/>
        </w:rPr>
      </w:pPr>
      <w:r w:rsidRPr="00C1116A">
        <w:rPr>
          <w:rFonts w:ascii="Arial" w:hAnsi="Arial" w:cs="Arial"/>
        </w:rPr>
        <w:lastRenderedPageBreak/>
        <w:t xml:space="preserve">We may see the importance which Sikhi places upon the defence of the defenceless in </w:t>
      </w:r>
      <w:r w:rsidR="00741AB6" w:rsidRPr="00C1116A">
        <w:rPr>
          <w:rFonts w:ascii="Arial" w:hAnsi="Arial" w:cs="Arial"/>
        </w:rPr>
        <w:t>Guru Tegh Bahadur’s agreement to do whatever</w:t>
      </w:r>
      <w:r w:rsidR="003A75D6" w:rsidRPr="00C1116A">
        <w:rPr>
          <w:rFonts w:ascii="Arial" w:hAnsi="Arial" w:cs="Arial"/>
        </w:rPr>
        <w:t xml:space="preserve"> necessary</w:t>
      </w:r>
      <w:r w:rsidR="00741AB6" w:rsidRPr="00C1116A">
        <w:rPr>
          <w:rFonts w:ascii="Arial" w:hAnsi="Arial" w:cs="Arial"/>
        </w:rPr>
        <w:t xml:space="preserve"> to defend the religious freedom of a group of Hindu scholars against </w:t>
      </w:r>
      <w:r w:rsidR="00E93FDF" w:rsidRPr="00C1116A">
        <w:rPr>
          <w:rFonts w:ascii="Arial" w:hAnsi="Arial" w:cs="Arial"/>
        </w:rPr>
        <w:t xml:space="preserve">Emperor </w:t>
      </w:r>
      <w:r w:rsidR="00741AB6" w:rsidRPr="00C1116A">
        <w:rPr>
          <w:rFonts w:ascii="Arial" w:hAnsi="Arial" w:cs="Arial"/>
        </w:rPr>
        <w:t>Aurangzeb’s tyrannical rule</w:t>
      </w:r>
      <w:r w:rsidRPr="00C1116A">
        <w:rPr>
          <w:rFonts w:ascii="Arial" w:hAnsi="Arial" w:cs="Arial"/>
        </w:rPr>
        <w:t>.</w:t>
      </w:r>
      <w:r w:rsidRPr="00C1116A">
        <w:rPr>
          <w:rStyle w:val="FootnoteReference"/>
          <w:rFonts w:ascii="Arial" w:hAnsi="Arial" w:cs="Arial"/>
        </w:rPr>
        <w:footnoteReference w:id="30"/>
      </w:r>
      <w:r w:rsidR="005E17A2" w:rsidRPr="00C1116A">
        <w:rPr>
          <w:rFonts w:ascii="Arial" w:hAnsi="Arial" w:cs="Arial"/>
        </w:rPr>
        <w:t xml:space="preserve"> </w:t>
      </w:r>
      <w:r w:rsidR="008A2F10" w:rsidRPr="00C1116A">
        <w:rPr>
          <w:rFonts w:ascii="Arial" w:hAnsi="Arial" w:cs="Arial"/>
        </w:rPr>
        <w:t>The Sikh commitment to freedom</w:t>
      </w:r>
      <w:r w:rsidR="004C453D" w:rsidRPr="00C1116A">
        <w:rPr>
          <w:rFonts w:ascii="Arial" w:hAnsi="Arial" w:cs="Arial"/>
        </w:rPr>
        <w:t>, justice, truth</w:t>
      </w:r>
      <w:r w:rsidR="008A64F1">
        <w:rPr>
          <w:rFonts w:ascii="Arial" w:hAnsi="Arial" w:cs="Arial"/>
        </w:rPr>
        <w:t xml:space="preserve">, </w:t>
      </w:r>
      <w:r w:rsidR="008A2F10" w:rsidRPr="00C1116A">
        <w:rPr>
          <w:rFonts w:ascii="Arial" w:hAnsi="Arial" w:cs="Arial"/>
        </w:rPr>
        <w:t xml:space="preserve">and human rights can be </w:t>
      </w:r>
      <w:r w:rsidR="003E6188">
        <w:rPr>
          <w:rFonts w:ascii="Arial" w:hAnsi="Arial" w:cs="Arial"/>
        </w:rPr>
        <w:t>further</w:t>
      </w:r>
      <w:r w:rsidR="008A2F10" w:rsidRPr="00C1116A">
        <w:rPr>
          <w:rFonts w:ascii="Arial" w:hAnsi="Arial" w:cs="Arial"/>
        </w:rPr>
        <w:t xml:space="preserve"> observed in the doctrine of </w:t>
      </w:r>
      <w:r w:rsidR="008A2F10" w:rsidRPr="00C1116A">
        <w:rPr>
          <w:rFonts w:ascii="Arial" w:hAnsi="Arial" w:cs="Arial"/>
          <w:i/>
          <w:iCs/>
        </w:rPr>
        <w:t>Miri Piri</w:t>
      </w:r>
      <w:r w:rsidR="008A2F10" w:rsidRPr="00C1116A">
        <w:rPr>
          <w:rFonts w:ascii="Arial" w:hAnsi="Arial" w:cs="Arial"/>
        </w:rPr>
        <w:t xml:space="preserve">, </w:t>
      </w:r>
      <w:r w:rsidR="001973BF">
        <w:rPr>
          <w:rFonts w:ascii="Arial" w:hAnsi="Arial" w:cs="Arial"/>
        </w:rPr>
        <w:t>introduced</w:t>
      </w:r>
      <w:r w:rsidR="008A2F10" w:rsidRPr="00C1116A">
        <w:rPr>
          <w:rFonts w:ascii="Arial" w:hAnsi="Arial" w:cs="Arial"/>
        </w:rPr>
        <w:t xml:space="preserve"> by the Sixth Guru, Guru Hargobind, </w:t>
      </w:r>
      <w:r w:rsidR="004C453D" w:rsidRPr="00C1116A">
        <w:rPr>
          <w:rFonts w:ascii="Arial" w:hAnsi="Arial" w:cs="Arial"/>
        </w:rPr>
        <w:t>following the execution of Guru Arjan in 1606 on the orders of Emperor Jahangir.</w:t>
      </w:r>
      <w:r w:rsidR="00CC0372">
        <w:rPr>
          <w:rStyle w:val="FootnoteReference"/>
          <w:rFonts w:ascii="Arial" w:hAnsi="Arial" w:cs="Arial"/>
        </w:rPr>
        <w:footnoteReference w:id="31"/>
      </w:r>
      <w:r w:rsidR="008D2089" w:rsidRPr="00C1116A">
        <w:rPr>
          <w:rFonts w:ascii="Arial" w:hAnsi="Arial" w:cs="Arial"/>
        </w:rPr>
        <w:t xml:space="preserve"> Guru Hargobind’s wearing of two kirpans was the symbolic demonstration of the </w:t>
      </w:r>
      <w:r w:rsidR="008D2089" w:rsidRPr="00C1116A">
        <w:rPr>
          <w:rFonts w:ascii="Arial" w:hAnsi="Arial" w:cs="Arial"/>
          <w:i/>
          <w:iCs/>
        </w:rPr>
        <w:t xml:space="preserve">miri </w:t>
      </w:r>
      <w:r w:rsidR="008D2089" w:rsidRPr="00C1116A">
        <w:rPr>
          <w:rFonts w:ascii="Arial" w:hAnsi="Arial" w:cs="Arial"/>
        </w:rPr>
        <w:t xml:space="preserve">(spiritual) as well as </w:t>
      </w:r>
      <w:r w:rsidR="008D2089" w:rsidRPr="00C1116A">
        <w:rPr>
          <w:rFonts w:ascii="Arial" w:hAnsi="Arial" w:cs="Arial"/>
          <w:i/>
          <w:iCs/>
        </w:rPr>
        <w:t xml:space="preserve">piri </w:t>
      </w:r>
      <w:r w:rsidR="008D2089" w:rsidRPr="00C1116A">
        <w:rPr>
          <w:rFonts w:ascii="Arial" w:hAnsi="Arial" w:cs="Arial"/>
        </w:rPr>
        <w:t>(temporal) authority.</w:t>
      </w:r>
      <w:r w:rsidR="00CC0372">
        <w:rPr>
          <w:rStyle w:val="FootnoteReference"/>
          <w:rFonts w:ascii="Arial" w:hAnsi="Arial" w:cs="Arial"/>
        </w:rPr>
        <w:footnoteReference w:id="32"/>
      </w:r>
      <w:r w:rsidR="00741AB6" w:rsidRPr="00C1116A">
        <w:rPr>
          <w:rFonts w:ascii="Arial" w:hAnsi="Arial" w:cs="Arial"/>
        </w:rPr>
        <w:t xml:space="preserve"> </w:t>
      </w:r>
      <w:r w:rsidR="009242BE">
        <w:rPr>
          <w:rFonts w:ascii="Arial" w:hAnsi="Arial" w:cs="Arial"/>
        </w:rPr>
        <w:t>Nowadays, i</w:t>
      </w:r>
      <w:r w:rsidR="00741AB6" w:rsidRPr="00C1116A">
        <w:rPr>
          <w:rFonts w:ascii="Arial" w:hAnsi="Arial" w:cs="Arial"/>
        </w:rPr>
        <w:t xml:space="preserve">n accordance with the </w:t>
      </w:r>
      <w:r w:rsidR="00741AB6" w:rsidRPr="00C1116A">
        <w:rPr>
          <w:rFonts w:ascii="Arial" w:hAnsi="Arial" w:cs="Arial"/>
          <w:i/>
          <w:iCs/>
        </w:rPr>
        <w:t>hukam</w:t>
      </w:r>
      <w:r w:rsidR="00741AB6" w:rsidRPr="00C1116A">
        <w:rPr>
          <w:rFonts w:ascii="Arial" w:hAnsi="Arial" w:cs="Arial"/>
        </w:rPr>
        <w:t xml:space="preserve"> of Guru Gobind Singh and the </w:t>
      </w:r>
      <w:r w:rsidR="00741AB6" w:rsidRPr="00C1116A">
        <w:rPr>
          <w:rFonts w:ascii="Arial" w:hAnsi="Arial" w:cs="Arial"/>
          <w:i/>
          <w:iCs/>
        </w:rPr>
        <w:t>panj pyaare</w:t>
      </w:r>
      <w:r w:rsidR="00741AB6" w:rsidRPr="00C1116A">
        <w:rPr>
          <w:rFonts w:ascii="Arial" w:hAnsi="Arial" w:cs="Arial"/>
        </w:rPr>
        <w:t xml:space="preserve">, Sikhs wear the </w:t>
      </w:r>
      <w:r w:rsidR="00741AB6" w:rsidRPr="00C1116A">
        <w:rPr>
          <w:rFonts w:ascii="Arial" w:hAnsi="Arial" w:cs="Arial"/>
          <w:i/>
          <w:iCs/>
        </w:rPr>
        <w:t>kirpan</w:t>
      </w:r>
      <w:r w:rsidR="00741AB6" w:rsidRPr="00C1116A">
        <w:rPr>
          <w:rFonts w:ascii="Arial" w:hAnsi="Arial" w:cs="Arial"/>
        </w:rPr>
        <w:t xml:space="preserve"> as an article of faith to evidence their commitment to the protection of the vulnerable. </w:t>
      </w:r>
      <w:r w:rsidR="00A00E26" w:rsidRPr="00C1116A">
        <w:rPr>
          <w:rFonts w:ascii="Arial" w:hAnsi="Arial" w:cs="Arial"/>
        </w:rPr>
        <w:t xml:space="preserve">This Sikh tradition of defending the defenceless found </w:t>
      </w:r>
      <w:r w:rsidR="005E17A2" w:rsidRPr="00C1116A">
        <w:rPr>
          <w:rFonts w:ascii="Arial" w:hAnsi="Arial" w:cs="Arial"/>
        </w:rPr>
        <w:t xml:space="preserve">prominent </w:t>
      </w:r>
      <w:r w:rsidR="00A00E26" w:rsidRPr="00C1116A">
        <w:rPr>
          <w:rFonts w:ascii="Arial" w:hAnsi="Arial" w:cs="Arial"/>
        </w:rPr>
        <w:t>expression very recently in Parliament when Tanmanjeet Singh Dhesi, the country’s first turbaned Sikh MP, challenged the Prime Minister in relation to his use of racist language to describe Muslim women</w:t>
      </w:r>
      <w:r w:rsidR="005E17A2" w:rsidRPr="00C1116A">
        <w:rPr>
          <w:rFonts w:ascii="Arial" w:hAnsi="Arial" w:cs="Arial"/>
        </w:rPr>
        <w:t>,</w:t>
      </w:r>
      <w:r w:rsidR="00A00E26" w:rsidRPr="00C1116A">
        <w:rPr>
          <w:rFonts w:ascii="Arial" w:hAnsi="Arial" w:cs="Arial"/>
        </w:rPr>
        <w:t xml:space="preserve"> and </w:t>
      </w:r>
      <w:r w:rsidR="005E17A2" w:rsidRPr="00C1116A">
        <w:rPr>
          <w:rFonts w:ascii="Arial" w:hAnsi="Arial" w:cs="Arial"/>
        </w:rPr>
        <w:t xml:space="preserve">also </w:t>
      </w:r>
      <w:r w:rsidR="00A00E26" w:rsidRPr="00C1116A">
        <w:rPr>
          <w:rFonts w:ascii="Arial" w:hAnsi="Arial" w:cs="Arial"/>
        </w:rPr>
        <w:t>to demand an inquiry into islamophobia.</w:t>
      </w:r>
      <w:r w:rsidR="005E17A2" w:rsidRPr="00C1116A">
        <w:rPr>
          <w:rStyle w:val="FootnoteReference"/>
          <w:rFonts w:ascii="Arial" w:hAnsi="Arial" w:cs="Arial"/>
        </w:rPr>
        <w:footnoteReference w:id="33"/>
      </w:r>
      <w:r w:rsidR="00A00E26" w:rsidRPr="00C1116A">
        <w:rPr>
          <w:rFonts w:ascii="Arial" w:hAnsi="Arial" w:cs="Arial"/>
        </w:rPr>
        <w:t xml:space="preserve"> </w:t>
      </w:r>
    </w:p>
    <w:p w14:paraId="534C01C6" w14:textId="307D14C1" w:rsidR="006540C8" w:rsidRPr="00C1116A" w:rsidRDefault="00192565" w:rsidP="00C1116A">
      <w:pPr>
        <w:spacing w:line="480" w:lineRule="auto"/>
        <w:jc w:val="both"/>
        <w:rPr>
          <w:rFonts w:ascii="Arial" w:hAnsi="Arial" w:cs="Arial"/>
        </w:rPr>
      </w:pPr>
      <w:r w:rsidRPr="00C1116A">
        <w:rPr>
          <w:rFonts w:ascii="Arial" w:hAnsi="Arial" w:cs="Arial"/>
        </w:rPr>
        <w:t xml:space="preserve">In this respect, the Sikh notion of justice displays a close affinity with </w:t>
      </w:r>
      <w:r w:rsidR="006540C8" w:rsidRPr="00C1116A">
        <w:rPr>
          <w:rFonts w:ascii="Arial" w:hAnsi="Arial" w:cs="Arial"/>
        </w:rPr>
        <w:t>fundamental politico-legal concepts such as “the rule of law”.</w:t>
      </w:r>
      <w:r w:rsidR="00A0425E" w:rsidRPr="00C1116A">
        <w:rPr>
          <w:rFonts w:ascii="Arial" w:hAnsi="Arial" w:cs="Arial"/>
        </w:rPr>
        <w:t xml:space="preserve"> Indeed, Guru Nanak promotes justice as involving the impartial administration of law by the ruler when he condemns the Muslim jurist </w:t>
      </w:r>
      <w:r w:rsidR="00727BF9">
        <w:rPr>
          <w:rFonts w:ascii="Arial" w:hAnsi="Arial" w:cs="Arial"/>
        </w:rPr>
        <w:t>(</w:t>
      </w:r>
      <w:r w:rsidR="00727BF9" w:rsidRPr="00727BF9">
        <w:rPr>
          <w:rFonts w:ascii="Arial" w:hAnsi="Arial" w:cs="Arial"/>
          <w:i/>
          <w:iCs/>
        </w:rPr>
        <w:t>qazi</w:t>
      </w:r>
      <w:r w:rsidR="00727BF9" w:rsidRPr="00727BF9">
        <w:rPr>
          <w:rFonts w:ascii="Arial" w:hAnsi="Arial" w:cs="Arial"/>
        </w:rPr>
        <w:t>)</w:t>
      </w:r>
      <w:r w:rsidR="00727BF9">
        <w:rPr>
          <w:rFonts w:ascii="Arial" w:hAnsi="Arial" w:cs="Arial"/>
          <w:i/>
          <w:iCs/>
        </w:rPr>
        <w:t xml:space="preserve"> </w:t>
      </w:r>
      <w:r w:rsidR="00727BF9" w:rsidRPr="00727BF9">
        <w:rPr>
          <w:rFonts w:ascii="Arial" w:hAnsi="Arial" w:cs="Arial"/>
        </w:rPr>
        <w:t>wh</w:t>
      </w:r>
      <w:r w:rsidR="00A0425E" w:rsidRPr="00727BF9">
        <w:rPr>
          <w:rFonts w:ascii="Arial" w:hAnsi="Arial" w:cs="Arial"/>
        </w:rPr>
        <w:t>o</w:t>
      </w:r>
      <w:r w:rsidR="00A0425E" w:rsidRPr="00C1116A">
        <w:rPr>
          <w:rFonts w:ascii="Arial" w:hAnsi="Arial" w:cs="Arial"/>
        </w:rPr>
        <w:t xml:space="preserve"> has been corrupted by selling justice.</w:t>
      </w:r>
      <w:r w:rsidR="00A0425E" w:rsidRPr="00C1116A">
        <w:rPr>
          <w:rStyle w:val="FootnoteReference"/>
          <w:rFonts w:ascii="Arial" w:hAnsi="Arial" w:cs="Arial"/>
        </w:rPr>
        <w:footnoteReference w:id="34"/>
      </w:r>
      <w:r w:rsidR="00727BF9">
        <w:rPr>
          <w:rFonts w:ascii="Arial" w:hAnsi="Arial" w:cs="Arial"/>
        </w:rPr>
        <w:t xml:space="preserve"> </w:t>
      </w:r>
      <w:r w:rsidR="006540C8" w:rsidRPr="00C1116A">
        <w:rPr>
          <w:rFonts w:ascii="Arial" w:hAnsi="Arial" w:cs="Arial"/>
        </w:rPr>
        <w:t>Yet Sikh justice should not simply be associated with the neutrality often evoked by principles such as “the rule of law”</w:t>
      </w:r>
      <w:r w:rsidR="00A17E72">
        <w:rPr>
          <w:rFonts w:ascii="Arial" w:hAnsi="Arial" w:cs="Arial"/>
        </w:rPr>
        <w:t xml:space="preserve"> or other mere formal notions of justice</w:t>
      </w:r>
      <w:r w:rsidR="006540C8" w:rsidRPr="00C1116A">
        <w:rPr>
          <w:rFonts w:ascii="Arial" w:hAnsi="Arial" w:cs="Arial"/>
        </w:rPr>
        <w:t xml:space="preserve">. Sikh justice offers a positive way of assessing human action. </w:t>
      </w:r>
      <w:r w:rsidR="00202FCA" w:rsidRPr="00C1116A">
        <w:rPr>
          <w:rFonts w:ascii="Arial" w:hAnsi="Arial" w:cs="Arial"/>
        </w:rPr>
        <w:t>For instance, t</w:t>
      </w:r>
      <w:r w:rsidR="006540C8" w:rsidRPr="00C1116A">
        <w:rPr>
          <w:rFonts w:ascii="Arial" w:hAnsi="Arial" w:cs="Arial"/>
        </w:rPr>
        <w:t xml:space="preserve">he third ethical requirement at the core of Sikh justice is </w:t>
      </w:r>
      <w:r w:rsidR="00664D24" w:rsidRPr="00C1116A">
        <w:rPr>
          <w:rFonts w:ascii="Arial" w:hAnsi="Arial" w:cs="Arial"/>
        </w:rPr>
        <w:t>the non-exploitation of others. Guru Nanak expresses exploitation as:</w:t>
      </w:r>
    </w:p>
    <w:p w14:paraId="426B7E3C" w14:textId="5892987D" w:rsidR="00664D24" w:rsidRPr="00C1116A" w:rsidRDefault="00664D24" w:rsidP="00C1116A">
      <w:pPr>
        <w:spacing w:line="480" w:lineRule="auto"/>
        <w:jc w:val="both"/>
        <w:rPr>
          <w:rFonts w:ascii="Arial" w:hAnsi="Arial" w:cs="Arial"/>
        </w:rPr>
      </w:pPr>
      <w:r w:rsidRPr="00C1116A">
        <w:rPr>
          <w:rFonts w:ascii="Arial" w:hAnsi="Arial" w:cs="Arial"/>
        </w:rPr>
        <w:t>“</w:t>
      </w:r>
      <w:r w:rsidRPr="00C1116A">
        <w:rPr>
          <w:rFonts w:ascii="Arial" w:hAnsi="Arial" w:cs="Arial"/>
          <w:i/>
          <w:iCs/>
        </w:rPr>
        <w:t>devouring the whole man in the night or darkness.</w:t>
      </w:r>
      <w:r w:rsidRPr="00C1116A">
        <w:rPr>
          <w:rFonts w:ascii="Arial" w:hAnsi="Arial" w:cs="Arial"/>
        </w:rPr>
        <w:t>”</w:t>
      </w:r>
      <w:r w:rsidRPr="00C1116A">
        <w:rPr>
          <w:rStyle w:val="FootnoteReference"/>
          <w:rFonts w:ascii="Arial" w:hAnsi="Arial" w:cs="Arial"/>
        </w:rPr>
        <w:footnoteReference w:id="35"/>
      </w:r>
    </w:p>
    <w:p w14:paraId="421901CF" w14:textId="509D3D05" w:rsidR="002A12AB" w:rsidRDefault="00664D24" w:rsidP="00C1116A">
      <w:pPr>
        <w:spacing w:line="480" w:lineRule="auto"/>
        <w:jc w:val="both"/>
        <w:rPr>
          <w:rFonts w:ascii="Arial" w:hAnsi="Arial" w:cs="Arial"/>
        </w:rPr>
      </w:pPr>
      <w:r w:rsidRPr="00C1116A">
        <w:rPr>
          <w:rFonts w:ascii="Arial" w:hAnsi="Arial" w:cs="Arial"/>
        </w:rPr>
        <w:lastRenderedPageBreak/>
        <w:t>The implication of Guru Nanak’s utterance is that the unjust man or woman is one who exploits another when the opportunity arises (</w:t>
      </w:r>
      <w:r w:rsidRPr="00C1116A">
        <w:rPr>
          <w:rFonts w:ascii="Arial" w:hAnsi="Arial" w:cs="Arial"/>
          <w:i/>
          <w:iCs/>
        </w:rPr>
        <w:t>in the night or darkness</w:t>
      </w:r>
      <w:r w:rsidRPr="00C1116A">
        <w:rPr>
          <w:rFonts w:ascii="Arial" w:hAnsi="Arial" w:cs="Arial"/>
        </w:rPr>
        <w:t xml:space="preserve">). It follows that the just man or woman will refrain from exploitation, even where such is possible. </w:t>
      </w:r>
      <w:r w:rsidR="00202FCA" w:rsidRPr="00C1116A">
        <w:rPr>
          <w:rFonts w:ascii="Arial" w:hAnsi="Arial" w:cs="Arial"/>
        </w:rPr>
        <w:t xml:space="preserve">This third ethical requirement </w:t>
      </w:r>
      <w:r w:rsidR="00F50626" w:rsidRPr="00C1116A">
        <w:rPr>
          <w:rFonts w:ascii="Arial" w:hAnsi="Arial" w:cs="Arial"/>
        </w:rPr>
        <w:t>may</w:t>
      </w:r>
      <w:r w:rsidR="00202FCA" w:rsidRPr="00C1116A">
        <w:rPr>
          <w:rFonts w:ascii="Arial" w:hAnsi="Arial" w:cs="Arial"/>
        </w:rPr>
        <w:t xml:space="preserve"> be seen as Sikhi’s ethical counterpart to the </w:t>
      </w:r>
      <w:r w:rsidR="0075182C" w:rsidRPr="00C1116A">
        <w:rPr>
          <w:rFonts w:ascii="Arial" w:hAnsi="Arial" w:cs="Arial"/>
        </w:rPr>
        <w:t xml:space="preserve">second formulation of the </w:t>
      </w:r>
      <w:r w:rsidR="00202FCA" w:rsidRPr="00C1116A">
        <w:rPr>
          <w:rFonts w:ascii="Arial" w:hAnsi="Arial" w:cs="Arial"/>
        </w:rPr>
        <w:t>Kantian categorical imperative</w:t>
      </w:r>
      <w:r w:rsidR="007214FC" w:rsidRPr="00C1116A">
        <w:rPr>
          <w:rFonts w:ascii="Arial" w:hAnsi="Arial" w:cs="Arial"/>
        </w:rPr>
        <w:t>,</w:t>
      </w:r>
      <w:r w:rsidR="00F50626" w:rsidRPr="00C1116A">
        <w:rPr>
          <w:rStyle w:val="FootnoteReference"/>
          <w:rFonts w:ascii="Arial" w:hAnsi="Arial" w:cs="Arial"/>
        </w:rPr>
        <w:footnoteReference w:id="36"/>
      </w:r>
      <w:r w:rsidR="00202FCA" w:rsidRPr="00C1116A">
        <w:rPr>
          <w:rFonts w:ascii="Arial" w:hAnsi="Arial" w:cs="Arial"/>
        </w:rPr>
        <w:t xml:space="preserve"> or </w:t>
      </w:r>
      <w:r w:rsidR="007214FC" w:rsidRPr="00C1116A">
        <w:rPr>
          <w:rFonts w:ascii="Arial" w:hAnsi="Arial" w:cs="Arial"/>
        </w:rPr>
        <w:t xml:space="preserve">even as overlapping with </w:t>
      </w:r>
      <w:r w:rsidR="00202FCA" w:rsidRPr="00C1116A">
        <w:rPr>
          <w:rFonts w:ascii="Arial" w:hAnsi="Arial" w:cs="Arial"/>
        </w:rPr>
        <w:t xml:space="preserve">the </w:t>
      </w:r>
      <w:r w:rsidR="00F50626" w:rsidRPr="00C1116A">
        <w:rPr>
          <w:rFonts w:ascii="Arial" w:hAnsi="Arial" w:cs="Arial"/>
        </w:rPr>
        <w:t>maxim contained</w:t>
      </w:r>
      <w:r w:rsidR="00202FCA" w:rsidRPr="00C1116A">
        <w:rPr>
          <w:rFonts w:ascii="Arial" w:hAnsi="Arial" w:cs="Arial"/>
        </w:rPr>
        <w:t xml:space="preserve"> </w:t>
      </w:r>
      <w:r w:rsidR="00F50626" w:rsidRPr="00C1116A">
        <w:rPr>
          <w:rFonts w:ascii="Arial" w:hAnsi="Arial" w:cs="Arial"/>
        </w:rPr>
        <w:t>in</w:t>
      </w:r>
      <w:r w:rsidR="00202FCA" w:rsidRPr="00C1116A">
        <w:rPr>
          <w:rFonts w:ascii="Arial" w:hAnsi="Arial" w:cs="Arial"/>
        </w:rPr>
        <w:t xml:space="preserve"> the Golden Rule</w:t>
      </w:r>
      <w:r w:rsidR="006011A8" w:rsidRPr="00C1116A">
        <w:rPr>
          <w:rFonts w:ascii="Arial" w:hAnsi="Arial" w:cs="Arial"/>
        </w:rPr>
        <w:t xml:space="preserve"> of other ethical and religious traditions</w:t>
      </w:r>
      <w:r w:rsidR="00202FCA" w:rsidRPr="00C1116A">
        <w:rPr>
          <w:rFonts w:ascii="Arial" w:hAnsi="Arial" w:cs="Arial"/>
        </w:rPr>
        <w:t>.</w:t>
      </w:r>
      <w:r w:rsidR="00F50626" w:rsidRPr="00C1116A">
        <w:rPr>
          <w:rStyle w:val="FootnoteReference"/>
          <w:rFonts w:ascii="Arial" w:hAnsi="Arial" w:cs="Arial"/>
        </w:rPr>
        <w:footnoteReference w:id="37"/>
      </w:r>
      <w:r w:rsidR="00202FCA" w:rsidRPr="00C1116A">
        <w:rPr>
          <w:rFonts w:ascii="Arial" w:hAnsi="Arial" w:cs="Arial"/>
        </w:rPr>
        <w:t xml:space="preserve"> </w:t>
      </w:r>
      <w:r w:rsidR="00B644A2" w:rsidRPr="00C1116A">
        <w:rPr>
          <w:rFonts w:ascii="Arial" w:hAnsi="Arial" w:cs="Arial"/>
        </w:rPr>
        <w:t xml:space="preserve">This third facet of justice may also be seen as </w:t>
      </w:r>
      <w:r w:rsidR="00056188" w:rsidRPr="00C1116A">
        <w:rPr>
          <w:rFonts w:ascii="Arial" w:hAnsi="Arial" w:cs="Arial"/>
        </w:rPr>
        <w:t xml:space="preserve">in part </w:t>
      </w:r>
      <w:r w:rsidR="00B644A2" w:rsidRPr="00C1116A">
        <w:rPr>
          <w:rFonts w:ascii="Arial" w:hAnsi="Arial" w:cs="Arial"/>
        </w:rPr>
        <w:t xml:space="preserve">reflected in the </w:t>
      </w:r>
      <w:r w:rsidR="00B644A2" w:rsidRPr="00C1116A">
        <w:rPr>
          <w:rFonts w:ascii="Arial" w:hAnsi="Arial" w:cs="Arial"/>
          <w:i/>
          <w:iCs/>
        </w:rPr>
        <w:t>kirat karo</w:t>
      </w:r>
      <w:r w:rsidR="00B644A2" w:rsidRPr="00C1116A">
        <w:rPr>
          <w:rFonts w:ascii="Arial" w:hAnsi="Arial" w:cs="Arial"/>
        </w:rPr>
        <w:t xml:space="preserve">, Sikhi’s second Golden Rule, requiring the earning of a livelihood by means of honest endeavour. </w:t>
      </w:r>
      <w:r w:rsidR="001611CB" w:rsidRPr="00C1116A">
        <w:rPr>
          <w:rFonts w:ascii="Arial" w:hAnsi="Arial" w:cs="Arial"/>
        </w:rPr>
        <w:t xml:space="preserve">We may therefore consider Sikh jurisprudence as moving far beyond the more limited notions of the impartial administration of justice. Rather there is a well-developed moral core at the heart of Sikh notions of justice. </w:t>
      </w:r>
    </w:p>
    <w:p w14:paraId="2E8F5585" w14:textId="2ED45F4E" w:rsidR="00CC0620" w:rsidRDefault="002A12AB" w:rsidP="00C1116A">
      <w:pPr>
        <w:spacing w:line="480" w:lineRule="auto"/>
        <w:jc w:val="both"/>
        <w:rPr>
          <w:rFonts w:ascii="Arial" w:hAnsi="Arial" w:cs="Arial"/>
          <w:b/>
          <w:bCs/>
        </w:rPr>
      </w:pPr>
      <w:r>
        <w:rPr>
          <w:rFonts w:ascii="Arial" w:hAnsi="Arial" w:cs="Arial"/>
          <w:b/>
          <w:bCs/>
        </w:rPr>
        <w:t>Conclusion</w:t>
      </w:r>
    </w:p>
    <w:p w14:paraId="2458FB92" w14:textId="4FB02785" w:rsidR="001611CB" w:rsidRPr="00B2798C" w:rsidRDefault="001611CB" w:rsidP="00C1116A">
      <w:pPr>
        <w:spacing w:line="480" w:lineRule="auto"/>
        <w:jc w:val="both"/>
        <w:rPr>
          <w:rFonts w:ascii="Arial" w:hAnsi="Arial" w:cs="Arial"/>
          <w:i/>
          <w:iCs/>
        </w:rPr>
      </w:pPr>
      <w:r>
        <w:rPr>
          <w:rFonts w:ascii="Arial" w:hAnsi="Arial" w:cs="Arial"/>
        </w:rPr>
        <w:t xml:space="preserve">This essay has offered an interpretation of Sikh jurisprudence as being intimately bound to </w:t>
      </w:r>
      <w:r w:rsidR="00A17E72">
        <w:rPr>
          <w:rFonts w:ascii="Arial" w:hAnsi="Arial" w:cs="Arial"/>
        </w:rPr>
        <w:t xml:space="preserve">the notion of justice. </w:t>
      </w:r>
      <w:r w:rsidR="00B2798C">
        <w:rPr>
          <w:rFonts w:ascii="Arial" w:hAnsi="Arial" w:cs="Arial"/>
        </w:rPr>
        <w:t>However, t</w:t>
      </w:r>
      <w:r w:rsidR="00A17E72">
        <w:rPr>
          <w:rFonts w:ascii="Arial" w:hAnsi="Arial" w:cs="Arial"/>
        </w:rPr>
        <w:t>he threefold conception of</w:t>
      </w:r>
      <w:r w:rsidR="00A17E72" w:rsidRPr="00B2798C">
        <w:rPr>
          <w:rFonts w:ascii="Arial" w:hAnsi="Arial" w:cs="Arial"/>
        </w:rPr>
        <w:t xml:space="preserve"> justice</w:t>
      </w:r>
      <w:r w:rsidR="00B2798C" w:rsidRPr="00B2798C">
        <w:rPr>
          <w:rFonts w:ascii="Arial" w:hAnsi="Arial" w:cs="Arial"/>
        </w:rPr>
        <w:t xml:space="preserve"> – as social equality, respect for the rights of others, and non-exploitation –</w:t>
      </w:r>
      <w:r w:rsidR="00A17E72" w:rsidRPr="00B2798C">
        <w:rPr>
          <w:rFonts w:ascii="Arial" w:hAnsi="Arial" w:cs="Arial"/>
        </w:rPr>
        <w:t xml:space="preserve"> does not </w:t>
      </w:r>
      <w:r w:rsidR="00A17E72">
        <w:rPr>
          <w:rFonts w:ascii="Arial" w:hAnsi="Arial" w:cs="Arial"/>
        </w:rPr>
        <w:t>simply incorporate formal notions of justice</w:t>
      </w:r>
      <w:r w:rsidR="00B2798C">
        <w:rPr>
          <w:rFonts w:ascii="Arial" w:hAnsi="Arial" w:cs="Arial"/>
        </w:rPr>
        <w:t>,</w:t>
      </w:r>
      <w:r w:rsidR="00C3570A">
        <w:rPr>
          <w:rFonts w:ascii="Arial" w:hAnsi="Arial" w:cs="Arial"/>
        </w:rPr>
        <w:t xml:space="preserve"> but offers explicitly moral principles and ethical injunctions for all Sikhs to follow. Sikh jurisprudence also recognises the free will of the individual at the same time as the will of </w:t>
      </w:r>
      <w:r w:rsidR="00C3570A" w:rsidRPr="00C3570A">
        <w:rPr>
          <w:rFonts w:ascii="Arial" w:hAnsi="Arial" w:cs="Arial"/>
          <w:i/>
          <w:iCs/>
        </w:rPr>
        <w:t>Akal Purakh</w:t>
      </w:r>
      <w:r w:rsidR="00832C51">
        <w:rPr>
          <w:rFonts w:ascii="Arial" w:hAnsi="Arial" w:cs="Arial"/>
        </w:rPr>
        <w:t xml:space="preserve"> (the Divine One)</w:t>
      </w:r>
      <w:r w:rsidR="00501A36">
        <w:rPr>
          <w:rFonts w:ascii="Arial" w:hAnsi="Arial" w:cs="Arial"/>
        </w:rPr>
        <w:t xml:space="preserve">, thus eliminating any conception of pre-determination: we all have the power to choose ethical and truthful action. </w:t>
      </w:r>
      <w:r w:rsidR="00832C51">
        <w:rPr>
          <w:rFonts w:ascii="Arial" w:hAnsi="Arial" w:cs="Arial"/>
        </w:rPr>
        <w:t xml:space="preserve">For the Sikh, the recognition of free will is emancipatory whilst offering responsibility. </w:t>
      </w:r>
      <w:r w:rsidR="00253246">
        <w:rPr>
          <w:rFonts w:ascii="Arial" w:hAnsi="Arial" w:cs="Arial"/>
        </w:rPr>
        <w:t xml:space="preserve">In determining what is the ethical and truthful action to pursue, we </w:t>
      </w:r>
      <w:r w:rsidR="00B2798C">
        <w:rPr>
          <w:rFonts w:ascii="Arial" w:hAnsi="Arial" w:cs="Arial"/>
        </w:rPr>
        <w:t>should</w:t>
      </w:r>
      <w:r w:rsidR="00253246">
        <w:rPr>
          <w:rFonts w:ascii="Arial" w:hAnsi="Arial" w:cs="Arial"/>
        </w:rPr>
        <w:t xml:space="preserve"> be guided by the virtue of justice as expounded in the Guru Granth Sahib. </w:t>
      </w:r>
    </w:p>
    <w:p w14:paraId="52943DAE" w14:textId="69143EEC" w:rsidR="00816B28" w:rsidRPr="00C1116A" w:rsidRDefault="00816B28" w:rsidP="00C1116A">
      <w:pPr>
        <w:spacing w:line="480" w:lineRule="auto"/>
        <w:jc w:val="both"/>
        <w:rPr>
          <w:rFonts w:ascii="Arial" w:hAnsi="Arial" w:cs="Arial"/>
        </w:rPr>
      </w:pPr>
    </w:p>
    <w:sectPr w:rsidR="00816B28" w:rsidRPr="00C111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8511" w14:textId="77777777" w:rsidR="003448F5" w:rsidRDefault="003448F5" w:rsidP="000C2DD4">
      <w:pPr>
        <w:spacing w:after="0" w:line="240" w:lineRule="auto"/>
      </w:pPr>
      <w:r>
        <w:separator/>
      </w:r>
    </w:p>
  </w:endnote>
  <w:endnote w:type="continuationSeparator" w:id="0">
    <w:p w14:paraId="1D8A31A8" w14:textId="77777777" w:rsidR="003448F5" w:rsidRDefault="003448F5" w:rsidP="000C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98106370"/>
      <w:docPartObj>
        <w:docPartGallery w:val="Page Numbers (Bottom of Page)"/>
        <w:docPartUnique/>
      </w:docPartObj>
    </w:sdtPr>
    <w:sdtEndPr>
      <w:rPr>
        <w:noProof/>
      </w:rPr>
    </w:sdtEndPr>
    <w:sdtContent>
      <w:p w14:paraId="0BDE8621" w14:textId="24826434" w:rsidR="006C4F70" w:rsidRPr="00130133" w:rsidRDefault="006C4F70">
        <w:pPr>
          <w:pStyle w:val="Footer"/>
          <w:jc w:val="center"/>
          <w:rPr>
            <w:rFonts w:ascii="Arial" w:hAnsi="Arial" w:cs="Arial"/>
            <w:sz w:val="20"/>
            <w:szCs w:val="20"/>
          </w:rPr>
        </w:pPr>
        <w:r w:rsidRPr="00130133">
          <w:rPr>
            <w:rFonts w:ascii="Arial" w:hAnsi="Arial" w:cs="Arial"/>
            <w:sz w:val="20"/>
            <w:szCs w:val="20"/>
          </w:rPr>
          <w:fldChar w:fldCharType="begin"/>
        </w:r>
        <w:r w:rsidRPr="00130133">
          <w:rPr>
            <w:rFonts w:ascii="Arial" w:hAnsi="Arial" w:cs="Arial"/>
            <w:sz w:val="20"/>
            <w:szCs w:val="20"/>
          </w:rPr>
          <w:instrText xml:space="preserve"> PAGE   \* MERGEFORMAT </w:instrText>
        </w:r>
        <w:r w:rsidRPr="00130133">
          <w:rPr>
            <w:rFonts w:ascii="Arial" w:hAnsi="Arial" w:cs="Arial"/>
            <w:sz w:val="20"/>
            <w:szCs w:val="20"/>
          </w:rPr>
          <w:fldChar w:fldCharType="separate"/>
        </w:r>
        <w:r w:rsidRPr="00130133">
          <w:rPr>
            <w:rFonts w:ascii="Arial" w:hAnsi="Arial" w:cs="Arial"/>
            <w:noProof/>
            <w:sz w:val="20"/>
            <w:szCs w:val="20"/>
          </w:rPr>
          <w:t>2</w:t>
        </w:r>
        <w:r w:rsidRPr="00130133">
          <w:rPr>
            <w:rFonts w:ascii="Arial" w:hAnsi="Arial" w:cs="Arial"/>
            <w:noProof/>
            <w:sz w:val="20"/>
            <w:szCs w:val="20"/>
          </w:rPr>
          <w:fldChar w:fldCharType="end"/>
        </w:r>
      </w:p>
    </w:sdtContent>
  </w:sdt>
  <w:p w14:paraId="4B721BBC" w14:textId="77777777" w:rsidR="006C4F70" w:rsidRPr="00130133" w:rsidRDefault="006C4F7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01038" w14:textId="77777777" w:rsidR="003448F5" w:rsidRDefault="003448F5" w:rsidP="000C2DD4">
      <w:pPr>
        <w:spacing w:after="0" w:line="240" w:lineRule="auto"/>
      </w:pPr>
      <w:r>
        <w:separator/>
      </w:r>
    </w:p>
  </w:footnote>
  <w:footnote w:type="continuationSeparator" w:id="0">
    <w:p w14:paraId="5A916C05" w14:textId="77777777" w:rsidR="003448F5" w:rsidRDefault="003448F5" w:rsidP="000C2DD4">
      <w:pPr>
        <w:spacing w:after="0" w:line="240" w:lineRule="auto"/>
      </w:pPr>
      <w:r>
        <w:continuationSeparator/>
      </w:r>
    </w:p>
  </w:footnote>
  <w:footnote w:id="1">
    <w:p w14:paraId="1A222352" w14:textId="7F26C3EB"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CC0372" w:rsidRPr="00FF3FA7">
        <w:rPr>
          <w:rFonts w:ascii="Arial" w:hAnsi="Arial" w:cs="Arial"/>
          <w:color w:val="000000" w:themeColor="text1"/>
        </w:rPr>
        <w:t>P. Singh, ‘Gurmat: the Teachings of the Gurus’</w:t>
      </w:r>
      <w:r w:rsidR="002F282B" w:rsidRPr="00FF3FA7">
        <w:rPr>
          <w:rFonts w:ascii="Arial" w:hAnsi="Arial" w:cs="Arial"/>
          <w:color w:val="000000" w:themeColor="text1"/>
        </w:rPr>
        <w:t xml:space="preserve">, </w:t>
      </w:r>
      <w:r w:rsidR="00CC0372" w:rsidRPr="00FF3FA7">
        <w:rPr>
          <w:rFonts w:ascii="Arial" w:hAnsi="Arial" w:cs="Arial"/>
          <w:color w:val="000000" w:themeColor="text1"/>
        </w:rPr>
        <w:t>in P. Singh and L.</w:t>
      </w:r>
      <w:r w:rsidR="00FB32F9" w:rsidRPr="00FF3FA7">
        <w:rPr>
          <w:rFonts w:ascii="Arial" w:hAnsi="Arial" w:cs="Arial"/>
          <w:color w:val="000000" w:themeColor="text1"/>
        </w:rPr>
        <w:t xml:space="preserve"> </w:t>
      </w:r>
      <w:r w:rsidR="00CC0372" w:rsidRPr="00FF3FA7">
        <w:rPr>
          <w:rFonts w:ascii="Arial" w:hAnsi="Arial" w:cs="Arial"/>
          <w:color w:val="000000" w:themeColor="text1"/>
        </w:rPr>
        <w:t xml:space="preserve">E. Fenech, </w:t>
      </w:r>
      <w:r w:rsidR="00CC0372" w:rsidRPr="00FF3FA7">
        <w:rPr>
          <w:rFonts w:ascii="Arial" w:hAnsi="Arial" w:cs="Arial"/>
          <w:i/>
          <w:iCs/>
          <w:color w:val="000000" w:themeColor="text1"/>
        </w:rPr>
        <w:t>The Oxford Handbook of Sikh Studies</w:t>
      </w:r>
      <w:r w:rsidR="00CC0372" w:rsidRPr="00FF3FA7">
        <w:rPr>
          <w:rFonts w:ascii="Arial" w:hAnsi="Arial" w:cs="Arial"/>
          <w:color w:val="000000" w:themeColor="text1"/>
        </w:rPr>
        <w:t xml:space="preserve"> (1</w:t>
      </w:r>
      <w:r w:rsidR="00CC0372" w:rsidRPr="00FF3FA7">
        <w:rPr>
          <w:rFonts w:ascii="Arial" w:hAnsi="Arial" w:cs="Arial"/>
          <w:color w:val="000000" w:themeColor="text1"/>
          <w:vertAlign w:val="superscript"/>
        </w:rPr>
        <w:t>st</w:t>
      </w:r>
      <w:r w:rsidR="00CC0372" w:rsidRPr="00FF3FA7">
        <w:rPr>
          <w:rFonts w:ascii="Arial" w:hAnsi="Arial" w:cs="Arial"/>
          <w:color w:val="000000" w:themeColor="text1"/>
        </w:rPr>
        <w:t xml:space="preserve"> edn, OUP 2014)</w:t>
      </w:r>
      <w:r w:rsidR="00FB32F9" w:rsidRPr="00FF3FA7">
        <w:rPr>
          <w:rFonts w:ascii="Arial" w:hAnsi="Arial" w:cs="Arial"/>
          <w:color w:val="000000" w:themeColor="text1"/>
        </w:rPr>
        <w:t>, p. 12</w:t>
      </w:r>
      <w:r w:rsidR="00EC026E">
        <w:rPr>
          <w:rFonts w:ascii="Arial" w:hAnsi="Arial" w:cs="Arial"/>
          <w:color w:val="000000" w:themeColor="text1"/>
        </w:rPr>
        <w:t>. S</w:t>
      </w:r>
      <w:r w:rsidRPr="00FF3FA7">
        <w:rPr>
          <w:rFonts w:ascii="Arial" w:hAnsi="Arial" w:cs="Arial"/>
          <w:color w:val="000000" w:themeColor="text1"/>
        </w:rPr>
        <w:t>ee also A</w:t>
      </w:r>
      <w:r w:rsidR="002F282B" w:rsidRPr="00FF3FA7">
        <w:rPr>
          <w:rFonts w:ascii="Arial" w:hAnsi="Arial" w:cs="Arial"/>
          <w:color w:val="000000" w:themeColor="text1"/>
        </w:rPr>
        <w:t xml:space="preserve">. Singh, ‘Ethics of the Sikhs’ </w:t>
      </w:r>
      <w:r w:rsidR="00FB32F9" w:rsidRPr="00FF3FA7">
        <w:rPr>
          <w:rFonts w:ascii="Arial" w:hAnsi="Arial" w:cs="Arial"/>
          <w:color w:val="000000" w:themeColor="text1"/>
        </w:rPr>
        <w:t>(</w:t>
      </w:r>
      <w:r w:rsidR="002F282B" w:rsidRPr="00FF3FA7">
        <w:rPr>
          <w:rFonts w:ascii="Arial" w:hAnsi="Arial" w:cs="Arial"/>
          <w:color w:val="000000" w:themeColor="text1"/>
        </w:rPr>
        <w:t>1970</w:t>
      </w:r>
      <w:r w:rsidR="00FB32F9" w:rsidRPr="00FF3FA7">
        <w:rPr>
          <w:rFonts w:ascii="Arial" w:hAnsi="Arial" w:cs="Arial"/>
          <w:color w:val="000000" w:themeColor="text1"/>
        </w:rPr>
        <w:t>)</w:t>
      </w:r>
      <w:r w:rsidR="002F282B" w:rsidRPr="00FF3FA7">
        <w:rPr>
          <w:rFonts w:ascii="Arial" w:hAnsi="Arial" w:cs="Arial"/>
          <w:color w:val="000000" w:themeColor="text1"/>
        </w:rPr>
        <w:t xml:space="preserve"> Institute of Understanding Sikhism Research Journal 35</w:t>
      </w:r>
      <w:r w:rsidR="00EC026E">
        <w:rPr>
          <w:rFonts w:ascii="Arial" w:hAnsi="Arial" w:cs="Arial"/>
          <w:color w:val="000000" w:themeColor="text1"/>
        </w:rPr>
        <w:t>.</w:t>
      </w:r>
    </w:p>
  </w:footnote>
  <w:footnote w:id="2">
    <w:p w14:paraId="0D1D3A08" w14:textId="3D4E4532"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4B7813" w:rsidRPr="00FF3FA7">
        <w:rPr>
          <w:rFonts w:ascii="Arial" w:hAnsi="Arial" w:cs="Arial"/>
          <w:color w:val="000000" w:themeColor="text1"/>
        </w:rPr>
        <w:t xml:space="preserve">P. Singh, </w:t>
      </w:r>
      <w:r w:rsidR="004B7813" w:rsidRPr="00FF3FA7">
        <w:rPr>
          <w:rFonts w:ascii="Arial" w:hAnsi="Arial" w:cs="Arial"/>
          <w:i/>
          <w:iCs/>
          <w:color w:val="000000" w:themeColor="text1"/>
        </w:rPr>
        <w:t>supra</w:t>
      </w:r>
      <w:r w:rsidR="004B7813" w:rsidRPr="00FF3FA7">
        <w:rPr>
          <w:rFonts w:ascii="Arial" w:hAnsi="Arial" w:cs="Arial"/>
          <w:color w:val="000000" w:themeColor="text1"/>
        </w:rPr>
        <w:t xml:space="preserve"> n.1</w:t>
      </w:r>
      <w:r w:rsidR="00FB32F9" w:rsidRPr="00FF3FA7">
        <w:rPr>
          <w:rFonts w:ascii="Arial" w:hAnsi="Arial" w:cs="Arial"/>
          <w:color w:val="000000" w:themeColor="text1"/>
        </w:rPr>
        <w:t>.</w:t>
      </w:r>
    </w:p>
  </w:footnote>
  <w:footnote w:id="3">
    <w:p w14:paraId="0F79EDE3" w14:textId="30C28202"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4B7813" w:rsidRPr="00FF3FA7">
        <w:rPr>
          <w:rFonts w:ascii="Arial" w:hAnsi="Arial" w:cs="Arial"/>
          <w:color w:val="000000" w:themeColor="text1"/>
        </w:rPr>
        <w:t xml:space="preserve">P. Singh, </w:t>
      </w:r>
      <w:r w:rsidR="004B7813" w:rsidRPr="00FF3FA7">
        <w:rPr>
          <w:rFonts w:ascii="Arial" w:hAnsi="Arial" w:cs="Arial"/>
          <w:i/>
          <w:iCs/>
          <w:color w:val="000000" w:themeColor="text1"/>
        </w:rPr>
        <w:t xml:space="preserve">supra </w:t>
      </w:r>
      <w:r w:rsidR="004B7813" w:rsidRPr="00FF3FA7">
        <w:rPr>
          <w:rFonts w:ascii="Arial" w:hAnsi="Arial" w:cs="Arial"/>
          <w:color w:val="000000" w:themeColor="text1"/>
        </w:rPr>
        <w:t>n.1</w:t>
      </w:r>
      <w:r w:rsidR="00EC026E">
        <w:rPr>
          <w:rFonts w:ascii="Arial" w:hAnsi="Arial" w:cs="Arial"/>
          <w:color w:val="000000" w:themeColor="text1"/>
        </w:rPr>
        <w:t>. S</w:t>
      </w:r>
      <w:r w:rsidR="001973BF" w:rsidRPr="00FF3FA7">
        <w:rPr>
          <w:rFonts w:ascii="Arial" w:hAnsi="Arial" w:cs="Arial"/>
          <w:color w:val="000000" w:themeColor="text1"/>
        </w:rPr>
        <w:t xml:space="preserve">ee also K. Singh, </w:t>
      </w:r>
      <w:r w:rsidR="001973BF" w:rsidRPr="00FF3FA7">
        <w:rPr>
          <w:rFonts w:ascii="Arial" w:hAnsi="Arial" w:cs="Arial"/>
          <w:i/>
          <w:iCs/>
          <w:color w:val="000000" w:themeColor="text1"/>
        </w:rPr>
        <w:t>A History of the Sikhs, Volume 1: 1469-1839</w:t>
      </w:r>
      <w:r w:rsidR="001973BF" w:rsidRPr="00FF3FA7">
        <w:rPr>
          <w:rFonts w:ascii="Arial" w:hAnsi="Arial" w:cs="Arial"/>
          <w:color w:val="000000" w:themeColor="text1"/>
        </w:rPr>
        <w:t xml:space="preserve"> (2</w:t>
      </w:r>
      <w:r w:rsidR="001973BF" w:rsidRPr="00FF3FA7">
        <w:rPr>
          <w:rFonts w:ascii="Arial" w:hAnsi="Arial" w:cs="Arial"/>
          <w:color w:val="000000" w:themeColor="text1"/>
          <w:vertAlign w:val="superscript"/>
        </w:rPr>
        <w:t>nd</w:t>
      </w:r>
      <w:r w:rsidR="001973BF" w:rsidRPr="00FF3FA7">
        <w:rPr>
          <w:rFonts w:ascii="Arial" w:hAnsi="Arial" w:cs="Arial"/>
          <w:color w:val="000000" w:themeColor="text1"/>
        </w:rPr>
        <w:t xml:space="preserve"> edn, OUP 2004)</w:t>
      </w:r>
      <w:r w:rsidR="00FB32F9" w:rsidRPr="00FF3FA7">
        <w:rPr>
          <w:rFonts w:ascii="Arial" w:hAnsi="Arial" w:cs="Arial"/>
          <w:color w:val="000000" w:themeColor="text1"/>
        </w:rPr>
        <w:t>.</w:t>
      </w:r>
    </w:p>
  </w:footnote>
  <w:footnote w:id="4">
    <w:p w14:paraId="265FD3A0" w14:textId="4A9AA5A8"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4B7813" w:rsidRPr="00FF3FA7">
        <w:rPr>
          <w:rFonts w:ascii="Arial" w:hAnsi="Arial" w:cs="Arial"/>
          <w:color w:val="000000" w:themeColor="text1"/>
        </w:rPr>
        <w:t xml:space="preserve">P. Singh, </w:t>
      </w:r>
      <w:r w:rsidR="004B7813" w:rsidRPr="00FF3FA7">
        <w:rPr>
          <w:rFonts w:ascii="Arial" w:hAnsi="Arial" w:cs="Arial"/>
          <w:i/>
          <w:iCs/>
          <w:color w:val="000000" w:themeColor="text1"/>
        </w:rPr>
        <w:t>supra</w:t>
      </w:r>
      <w:r w:rsidR="004B7813" w:rsidRPr="00FF3FA7">
        <w:rPr>
          <w:rFonts w:ascii="Arial" w:hAnsi="Arial" w:cs="Arial"/>
          <w:color w:val="000000" w:themeColor="text1"/>
        </w:rPr>
        <w:t xml:space="preserve"> n.1</w:t>
      </w:r>
      <w:r w:rsidR="00EC026E">
        <w:rPr>
          <w:rFonts w:ascii="Arial" w:hAnsi="Arial" w:cs="Arial"/>
          <w:color w:val="000000" w:themeColor="text1"/>
        </w:rPr>
        <w:t>. S</w:t>
      </w:r>
      <w:r w:rsidR="004B7813" w:rsidRPr="00FF3FA7">
        <w:rPr>
          <w:rFonts w:ascii="Arial" w:hAnsi="Arial" w:cs="Arial"/>
          <w:color w:val="000000" w:themeColor="text1"/>
        </w:rPr>
        <w:t xml:space="preserve">ee also </w:t>
      </w:r>
      <w:r w:rsidR="001973BF" w:rsidRPr="00FF3FA7">
        <w:rPr>
          <w:rFonts w:ascii="Arial" w:hAnsi="Arial" w:cs="Arial"/>
          <w:color w:val="000000" w:themeColor="text1"/>
        </w:rPr>
        <w:t xml:space="preserve">W. Singh, </w:t>
      </w:r>
      <w:r w:rsidR="004B7813" w:rsidRPr="00FF3FA7">
        <w:rPr>
          <w:rFonts w:ascii="Arial" w:hAnsi="Arial" w:cs="Arial"/>
          <w:color w:val="000000" w:themeColor="text1"/>
        </w:rPr>
        <w:t>‘</w:t>
      </w:r>
      <w:r w:rsidR="001973BF" w:rsidRPr="00FF3FA7">
        <w:rPr>
          <w:rFonts w:ascii="Arial" w:hAnsi="Arial" w:cs="Arial"/>
          <w:color w:val="000000" w:themeColor="text1"/>
        </w:rPr>
        <w:t>The Splendour of Guru Granth Sahib</w:t>
      </w:r>
      <w:r w:rsidR="004B7813" w:rsidRPr="00FF3FA7">
        <w:rPr>
          <w:rFonts w:ascii="Arial" w:hAnsi="Arial" w:cs="Arial"/>
          <w:color w:val="000000" w:themeColor="text1"/>
        </w:rPr>
        <w:t>’</w:t>
      </w:r>
      <w:r w:rsidR="00FB32F9" w:rsidRPr="00FF3FA7">
        <w:rPr>
          <w:rFonts w:ascii="Arial" w:hAnsi="Arial" w:cs="Arial"/>
          <w:color w:val="000000" w:themeColor="text1"/>
        </w:rPr>
        <w:t xml:space="preserve"> (2003)</w:t>
      </w:r>
      <w:r w:rsidR="001973BF" w:rsidRPr="00FF3FA7">
        <w:rPr>
          <w:rFonts w:ascii="Arial" w:hAnsi="Arial" w:cs="Arial"/>
          <w:color w:val="000000" w:themeColor="text1"/>
        </w:rPr>
        <w:t xml:space="preserve"> </w:t>
      </w:r>
      <w:r w:rsidR="00FB32F9" w:rsidRPr="00FF3FA7">
        <w:rPr>
          <w:rFonts w:ascii="Arial" w:hAnsi="Arial" w:cs="Arial"/>
          <w:color w:val="000000" w:themeColor="text1"/>
        </w:rPr>
        <w:t xml:space="preserve">XXII(1) </w:t>
      </w:r>
      <w:r w:rsidR="001973BF" w:rsidRPr="00FF3FA7">
        <w:rPr>
          <w:rFonts w:ascii="Arial" w:hAnsi="Arial" w:cs="Arial"/>
          <w:i/>
          <w:iCs/>
          <w:color w:val="000000" w:themeColor="text1"/>
        </w:rPr>
        <w:t>Studies in Sikhism and Comparative Religion</w:t>
      </w:r>
      <w:r w:rsidR="00B2798C" w:rsidRPr="00FF3FA7">
        <w:rPr>
          <w:rFonts w:ascii="Arial" w:hAnsi="Arial" w:cs="Arial"/>
          <w:i/>
          <w:iCs/>
          <w:color w:val="000000" w:themeColor="text1"/>
        </w:rPr>
        <w:t xml:space="preserve"> </w:t>
      </w:r>
      <w:r w:rsidR="00FB32F9" w:rsidRPr="00FF3FA7">
        <w:rPr>
          <w:rFonts w:ascii="Arial" w:hAnsi="Arial" w:cs="Arial"/>
          <w:color w:val="000000" w:themeColor="text1"/>
        </w:rPr>
        <w:t>14</w:t>
      </w:r>
      <w:r w:rsidR="001973BF" w:rsidRPr="00FF3FA7">
        <w:rPr>
          <w:rFonts w:ascii="Arial" w:hAnsi="Arial" w:cs="Arial"/>
          <w:color w:val="000000" w:themeColor="text1"/>
        </w:rPr>
        <w:t xml:space="preserve">; </w:t>
      </w:r>
      <w:r w:rsidR="004B7813" w:rsidRPr="00FF3FA7">
        <w:rPr>
          <w:rFonts w:ascii="Arial" w:hAnsi="Arial" w:cs="Arial"/>
          <w:color w:val="000000" w:themeColor="text1"/>
        </w:rPr>
        <w:t xml:space="preserve">and </w:t>
      </w:r>
      <w:r w:rsidR="001973BF" w:rsidRPr="00FF3FA7">
        <w:rPr>
          <w:rFonts w:ascii="Arial" w:hAnsi="Arial" w:cs="Arial"/>
          <w:color w:val="000000" w:themeColor="text1"/>
        </w:rPr>
        <w:t xml:space="preserve">D.S. Dhillon, </w:t>
      </w:r>
      <w:r w:rsidR="001973BF" w:rsidRPr="00FF3FA7">
        <w:rPr>
          <w:rFonts w:ascii="Arial" w:hAnsi="Arial" w:cs="Arial"/>
          <w:i/>
          <w:iCs/>
          <w:color w:val="000000" w:themeColor="text1"/>
        </w:rPr>
        <w:t>Sikhism, Origin and Development</w:t>
      </w:r>
      <w:r w:rsidR="004B7813" w:rsidRPr="00FF3FA7">
        <w:rPr>
          <w:rFonts w:ascii="Arial" w:hAnsi="Arial" w:cs="Arial"/>
          <w:color w:val="000000" w:themeColor="text1"/>
        </w:rPr>
        <w:t xml:space="preserve"> (1</w:t>
      </w:r>
      <w:r w:rsidR="004B7813" w:rsidRPr="00FF3FA7">
        <w:rPr>
          <w:rFonts w:ascii="Arial" w:hAnsi="Arial" w:cs="Arial"/>
          <w:color w:val="000000" w:themeColor="text1"/>
          <w:vertAlign w:val="superscript"/>
        </w:rPr>
        <w:t>st</w:t>
      </w:r>
      <w:r w:rsidR="004B7813" w:rsidRPr="00FF3FA7">
        <w:rPr>
          <w:rFonts w:ascii="Arial" w:hAnsi="Arial" w:cs="Arial"/>
          <w:color w:val="000000" w:themeColor="text1"/>
        </w:rPr>
        <w:t xml:space="preserve"> edn, Atlantic Publishers 1988), </w:t>
      </w:r>
      <w:r w:rsidR="001973BF" w:rsidRPr="00FF3FA7">
        <w:rPr>
          <w:rFonts w:ascii="Arial" w:hAnsi="Arial" w:cs="Arial"/>
          <w:color w:val="000000" w:themeColor="text1"/>
        </w:rPr>
        <w:t>p. 257</w:t>
      </w:r>
      <w:r w:rsidR="00FB32F9" w:rsidRPr="00FF3FA7">
        <w:rPr>
          <w:rFonts w:ascii="Arial" w:hAnsi="Arial" w:cs="Arial"/>
          <w:color w:val="000000" w:themeColor="text1"/>
        </w:rPr>
        <w:t>.</w:t>
      </w:r>
    </w:p>
  </w:footnote>
  <w:footnote w:id="5">
    <w:p w14:paraId="1BBFE2EB" w14:textId="4D2F4BDA" w:rsidR="00D92895" w:rsidRPr="00FF3FA7" w:rsidRDefault="00D92895">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C85E1E" w:rsidRPr="00FF3FA7">
        <w:rPr>
          <w:rFonts w:ascii="Arial" w:hAnsi="Arial" w:cs="Arial"/>
          <w:color w:val="000000" w:themeColor="text1"/>
        </w:rPr>
        <w:t>R.</w:t>
      </w:r>
      <w:r w:rsidR="00FB32F9" w:rsidRPr="00FF3FA7">
        <w:rPr>
          <w:rFonts w:ascii="Arial" w:hAnsi="Arial" w:cs="Arial"/>
          <w:color w:val="000000" w:themeColor="text1"/>
        </w:rPr>
        <w:t xml:space="preserve"> </w:t>
      </w:r>
      <w:r w:rsidR="00C85E1E" w:rsidRPr="00FF3FA7">
        <w:rPr>
          <w:rFonts w:ascii="Arial" w:hAnsi="Arial" w:cs="Arial"/>
          <w:color w:val="000000" w:themeColor="text1"/>
        </w:rPr>
        <w:t xml:space="preserve">S. Bhamra, </w:t>
      </w:r>
      <w:r w:rsidR="00C85E1E" w:rsidRPr="00FF3FA7">
        <w:rPr>
          <w:rFonts w:ascii="Arial" w:hAnsi="Arial" w:cs="Arial"/>
          <w:i/>
          <w:iCs/>
          <w:color w:val="000000" w:themeColor="text1"/>
        </w:rPr>
        <w:t>Sikhism and Spirituality</w:t>
      </w:r>
      <w:r w:rsidR="00C85E1E" w:rsidRPr="00FF3FA7">
        <w:rPr>
          <w:rFonts w:ascii="Arial" w:hAnsi="Arial" w:cs="Arial"/>
          <w:color w:val="000000" w:themeColor="text1"/>
        </w:rPr>
        <w:t xml:space="preserve"> (1</w:t>
      </w:r>
      <w:r w:rsidR="00C85E1E" w:rsidRPr="00FF3FA7">
        <w:rPr>
          <w:rFonts w:ascii="Arial" w:hAnsi="Arial" w:cs="Arial"/>
          <w:color w:val="000000" w:themeColor="text1"/>
          <w:vertAlign w:val="superscript"/>
        </w:rPr>
        <w:t>st</w:t>
      </w:r>
      <w:r w:rsidR="00C85E1E" w:rsidRPr="00FF3FA7">
        <w:rPr>
          <w:rFonts w:ascii="Arial" w:hAnsi="Arial" w:cs="Arial"/>
          <w:color w:val="000000" w:themeColor="text1"/>
        </w:rPr>
        <w:t xml:space="preserve"> edn, Xlibris 2015)</w:t>
      </w:r>
      <w:r w:rsidR="00EC026E">
        <w:rPr>
          <w:rFonts w:ascii="Arial" w:hAnsi="Arial" w:cs="Arial"/>
          <w:color w:val="000000" w:themeColor="text1"/>
        </w:rPr>
        <w:t>. S</w:t>
      </w:r>
      <w:r w:rsidR="00C85E1E" w:rsidRPr="00FF3FA7">
        <w:rPr>
          <w:rFonts w:ascii="Arial" w:hAnsi="Arial" w:cs="Arial"/>
          <w:color w:val="000000" w:themeColor="text1"/>
        </w:rPr>
        <w:t>ee also D.</w:t>
      </w:r>
      <w:r w:rsidR="00FB32F9" w:rsidRPr="00FF3FA7">
        <w:rPr>
          <w:rFonts w:ascii="Arial" w:hAnsi="Arial" w:cs="Arial"/>
          <w:color w:val="000000" w:themeColor="text1"/>
        </w:rPr>
        <w:t xml:space="preserve"> </w:t>
      </w:r>
      <w:r w:rsidR="00C85E1E" w:rsidRPr="00FF3FA7">
        <w:rPr>
          <w:rFonts w:ascii="Arial" w:hAnsi="Arial" w:cs="Arial"/>
          <w:color w:val="000000" w:themeColor="text1"/>
        </w:rPr>
        <w:t xml:space="preserve">R. Jakobsh, </w:t>
      </w:r>
      <w:r w:rsidR="00C85E1E" w:rsidRPr="00FF3FA7">
        <w:rPr>
          <w:rFonts w:ascii="Arial" w:hAnsi="Arial" w:cs="Arial"/>
          <w:i/>
          <w:iCs/>
          <w:color w:val="000000" w:themeColor="text1"/>
        </w:rPr>
        <w:t>Sikhism</w:t>
      </w:r>
      <w:r w:rsidR="00C85E1E" w:rsidRPr="00FF3FA7">
        <w:rPr>
          <w:rFonts w:ascii="Arial" w:hAnsi="Arial" w:cs="Arial"/>
          <w:color w:val="000000" w:themeColor="text1"/>
        </w:rPr>
        <w:t xml:space="preserve"> (1</w:t>
      </w:r>
      <w:r w:rsidR="00C85E1E" w:rsidRPr="00FF3FA7">
        <w:rPr>
          <w:rFonts w:ascii="Arial" w:hAnsi="Arial" w:cs="Arial"/>
          <w:color w:val="000000" w:themeColor="text1"/>
          <w:vertAlign w:val="superscript"/>
        </w:rPr>
        <w:t>st</w:t>
      </w:r>
      <w:r w:rsidR="00C85E1E" w:rsidRPr="00FF3FA7">
        <w:rPr>
          <w:rFonts w:ascii="Arial" w:hAnsi="Arial" w:cs="Arial"/>
          <w:color w:val="000000" w:themeColor="text1"/>
        </w:rPr>
        <w:t xml:space="preserve"> edn, University of Hawai’I Press 2012), </w:t>
      </w:r>
      <w:r w:rsidR="00FB32F9" w:rsidRPr="00FF3FA7">
        <w:rPr>
          <w:rFonts w:ascii="Arial" w:hAnsi="Arial" w:cs="Arial"/>
          <w:color w:val="000000" w:themeColor="text1"/>
        </w:rPr>
        <w:t xml:space="preserve">p. </w:t>
      </w:r>
      <w:r w:rsidR="00C85E1E" w:rsidRPr="00FF3FA7">
        <w:rPr>
          <w:rFonts w:ascii="Arial" w:hAnsi="Arial" w:cs="Arial"/>
          <w:color w:val="000000" w:themeColor="text1"/>
        </w:rPr>
        <w:t>76</w:t>
      </w:r>
      <w:r w:rsidR="00FB32F9" w:rsidRPr="00FF3FA7">
        <w:rPr>
          <w:rFonts w:ascii="Arial" w:hAnsi="Arial" w:cs="Arial"/>
          <w:color w:val="000000" w:themeColor="text1"/>
        </w:rPr>
        <w:t>.</w:t>
      </w:r>
    </w:p>
  </w:footnote>
  <w:footnote w:id="6">
    <w:p w14:paraId="50E4882C" w14:textId="7B19CA7D" w:rsidR="001973BF" w:rsidRPr="00FF3FA7" w:rsidRDefault="001973BF" w:rsidP="001973BF">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A</w:t>
      </w:r>
      <w:r w:rsidR="005A7131" w:rsidRPr="00FF3FA7">
        <w:rPr>
          <w:rFonts w:ascii="Arial" w:hAnsi="Arial" w:cs="Arial"/>
          <w:color w:val="000000" w:themeColor="text1"/>
        </w:rPr>
        <w:t xml:space="preserve">di </w:t>
      </w:r>
      <w:r w:rsidRPr="00FF3FA7">
        <w:rPr>
          <w:rFonts w:ascii="Arial" w:hAnsi="Arial" w:cs="Arial"/>
          <w:color w:val="000000" w:themeColor="text1"/>
        </w:rPr>
        <w:t>G</w:t>
      </w:r>
      <w:r w:rsidR="005A7131" w:rsidRPr="00FF3FA7">
        <w:rPr>
          <w:rFonts w:ascii="Arial" w:hAnsi="Arial" w:cs="Arial"/>
          <w:color w:val="000000" w:themeColor="text1"/>
        </w:rPr>
        <w:t>ranth</w:t>
      </w:r>
      <w:r w:rsidRPr="00FF3FA7">
        <w:rPr>
          <w:rFonts w:ascii="Arial" w:hAnsi="Arial" w:cs="Arial"/>
          <w:color w:val="000000" w:themeColor="text1"/>
        </w:rPr>
        <w:t xml:space="preserve"> 226</w:t>
      </w:r>
      <w:r w:rsidR="00FF3FA7" w:rsidRPr="00FF3FA7">
        <w:rPr>
          <w:rFonts w:ascii="Arial" w:hAnsi="Arial" w:cs="Arial"/>
          <w:color w:val="000000" w:themeColor="text1"/>
        </w:rPr>
        <w:t>. S</w:t>
      </w:r>
      <w:r w:rsidRPr="00FF3FA7">
        <w:rPr>
          <w:rFonts w:ascii="Arial" w:hAnsi="Arial" w:cs="Arial"/>
          <w:color w:val="000000" w:themeColor="text1"/>
        </w:rPr>
        <w:t xml:space="preserve">ee also S. S. Kohli, </w:t>
      </w:r>
      <w:r w:rsidRPr="00FF3FA7">
        <w:rPr>
          <w:rFonts w:ascii="Arial" w:hAnsi="Arial" w:cs="Arial"/>
          <w:i/>
          <w:iCs/>
          <w:color w:val="000000" w:themeColor="text1"/>
        </w:rPr>
        <w:t>The Sikh and Sikhism</w:t>
      </w:r>
      <w:r w:rsidR="00FB32F9" w:rsidRPr="00FF3FA7">
        <w:rPr>
          <w:rFonts w:ascii="Arial" w:hAnsi="Arial" w:cs="Arial"/>
          <w:color w:val="000000" w:themeColor="text1"/>
        </w:rPr>
        <w:t xml:space="preserve"> (Atlantic Publishers 1992), </w:t>
      </w:r>
      <w:r w:rsidRPr="00FF3FA7">
        <w:rPr>
          <w:rFonts w:ascii="Arial" w:hAnsi="Arial" w:cs="Arial"/>
          <w:color w:val="000000" w:themeColor="text1"/>
        </w:rPr>
        <w:t>p</w:t>
      </w:r>
      <w:r w:rsidR="00FB32F9" w:rsidRPr="00FF3FA7">
        <w:rPr>
          <w:rFonts w:ascii="Arial" w:hAnsi="Arial" w:cs="Arial"/>
          <w:color w:val="000000" w:themeColor="text1"/>
        </w:rPr>
        <w:t xml:space="preserve">. </w:t>
      </w:r>
      <w:r w:rsidRPr="00FF3FA7">
        <w:rPr>
          <w:rFonts w:ascii="Arial" w:hAnsi="Arial" w:cs="Arial"/>
          <w:color w:val="000000" w:themeColor="text1"/>
        </w:rPr>
        <w:t>51</w:t>
      </w:r>
      <w:r w:rsidR="00FB32F9" w:rsidRPr="00FF3FA7">
        <w:rPr>
          <w:rFonts w:ascii="Arial" w:hAnsi="Arial" w:cs="Arial"/>
          <w:color w:val="000000" w:themeColor="text1"/>
        </w:rPr>
        <w:t>.</w:t>
      </w:r>
    </w:p>
  </w:footnote>
  <w:footnote w:id="7">
    <w:p w14:paraId="53A6A1CF" w14:textId="32BE3ACC"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A</w:t>
      </w:r>
      <w:r w:rsidR="005A7131" w:rsidRPr="00FF3FA7">
        <w:rPr>
          <w:rFonts w:ascii="Arial" w:hAnsi="Arial" w:cs="Arial"/>
          <w:color w:val="000000" w:themeColor="text1"/>
        </w:rPr>
        <w:t xml:space="preserve">di </w:t>
      </w:r>
      <w:r w:rsidRPr="00FF3FA7">
        <w:rPr>
          <w:rFonts w:ascii="Arial" w:hAnsi="Arial" w:cs="Arial"/>
          <w:color w:val="000000" w:themeColor="text1"/>
        </w:rPr>
        <w:t>G</w:t>
      </w:r>
      <w:r w:rsidR="005A7131" w:rsidRPr="00FF3FA7">
        <w:rPr>
          <w:rFonts w:ascii="Arial" w:hAnsi="Arial" w:cs="Arial"/>
          <w:color w:val="000000" w:themeColor="text1"/>
        </w:rPr>
        <w:t>ranth</w:t>
      </w:r>
      <w:r w:rsidRPr="00FF3FA7">
        <w:rPr>
          <w:rFonts w:ascii="Arial" w:hAnsi="Arial" w:cs="Arial"/>
          <w:color w:val="000000" w:themeColor="text1"/>
        </w:rPr>
        <w:t xml:space="preserve"> 474</w:t>
      </w:r>
      <w:r w:rsidR="00FB32F9" w:rsidRPr="00FF3FA7">
        <w:rPr>
          <w:rFonts w:ascii="Arial" w:hAnsi="Arial" w:cs="Arial"/>
          <w:color w:val="000000" w:themeColor="text1"/>
        </w:rPr>
        <w:t>.</w:t>
      </w:r>
    </w:p>
  </w:footnote>
  <w:footnote w:id="8">
    <w:p w14:paraId="45DB5F32" w14:textId="005AB429"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EC7193" w:rsidRPr="00FF3FA7">
        <w:rPr>
          <w:rFonts w:ascii="Arial" w:hAnsi="Arial" w:cs="Arial"/>
          <w:color w:val="000000" w:themeColor="text1"/>
        </w:rPr>
        <w:t>Adi Granth 62</w:t>
      </w:r>
      <w:r w:rsidR="00FB32F9" w:rsidRPr="00FF3FA7">
        <w:rPr>
          <w:rFonts w:ascii="Arial" w:hAnsi="Arial" w:cs="Arial"/>
          <w:color w:val="000000" w:themeColor="text1"/>
        </w:rPr>
        <w:t>.</w:t>
      </w:r>
    </w:p>
  </w:footnote>
  <w:footnote w:id="9">
    <w:p w14:paraId="2523158C" w14:textId="3D989528" w:rsidR="00D92895" w:rsidRPr="00FF3FA7" w:rsidRDefault="00D92895">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5A7131" w:rsidRPr="00FF3FA7">
        <w:rPr>
          <w:rFonts w:ascii="Arial" w:hAnsi="Arial" w:cs="Arial"/>
          <w:color w:val="000000" w:themeColor="text1"/>
        </w:rPr>
        <w:t xml:space="preserve">P. Dhavan, ‘Sikhism in the Eighteenth Century’, in </w:t>
      </w:r>
      <w:r w:rsidR="00384767" w:rsidRPr="00FF3FA7">
        <w:rPr>
          <w:rFonts w:ascii="Arial" w:hAnsi="Arial" w:cs="Arial"/>
          <w:color w:val="000000" w:themeColor="text1"/>
        </w:rPr>
        <w:t xml:space="preserve">P. Singh and L.E. Fenech, </w:t>
      </w:r>
      <w:r w:rsidR="00384767" w:rsidRPr="00FF3FA7">
        <w:rPr>
          <w:rFonts w:ascii="Arial" w:hAnsi="Arial" w:cs="Arial"/>
          <w:i/>
          <w:iCs/>
          <w:color w:val="000000" w:themeColor="text1"/>
        </w:rPr>
        <w:t>The Oxford Handbook of Sikh Studies</w:t>
      </w:r>
      <w:r w:rsidR="00384767" w:rsidRPr="00FF3FA7">
        <w:rPr>
          <w:rFonts w:ascii="Arial" w:hAnsi="Arial" w:cs="Arial"/>
          <w:color w:val="000000" w:themeColor="text1"/>
        </w:rPr>
        <w:t xml:space="preserve"> (1</w:t>
      </w:r>
      <w:r w:rsidR="00384767" w:rsidRPr="00FF3FA7">
        <w:rPr>
          <w:rFonts w:ascii="Arial" w:hAnsi="Arial" w:cs="Arial"/>
          <w:color w:val="000000" w:themeColor="text1"/>
          <w:vertAlign w:val="superscript"/>
        </w:rPr>
        <w:t>st</w:t>
      </w:r>
      <w:r w:rsidR="00384767" w:rsidRPr="00FF3FA7">
        <w:rPr>
          <w:rFonts w:ascii="Arial" w:hAnsi="Arial" w:cs="Arial"/>
          <w:color w:val="000000" w:themeColor="text1"/>
        </w:rPr>
        <w:t xml:space="preserve"> edn, OUP 2014)</w:t>
      </w:r>
      <w:r w:rsidR="00FB32F9" w:rsidRPr="00FF3FA7">
        <w:rPr>
          <w:rFonts w:ascii="Arial" w:hAnsi="Arial" w:cs="Arial"/>
          <w:color w:val="000000" w:themeColor="text1"/>
        </w:rPr>
        <w:t>, p. 7.</w:t>
      </w:r>
    </w:p>
  </w:footnote>
  <w:footnote w:id="10">
    <w:p w14:paraId="672F0EE8" w14:textId="7657A9CA" w:rsidR="00CC0372" w:rsidRPr="00FF3FA7" w:rsidRDefault="00CC0372">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384767" w:rsidRPr="00FF3FA7">
        <w:rPr>
          <w:rFonts w:ascii="Arial" w:hAnsi="Arial" w:cs="Arial"/>
          <w:color w:val="000000" w:themeColor="text1"/>
        </w:rPr>
        <w:t xml:space="preserve">N.S. Mandair, ‘Colonial Formations of Sikhism’, in P. Singh and L.E. Fenech, </w:t>
      </w:r>
      <w:r w:rsidR="00384767" w:rsidRPr="00FF3FA7">
        <w:rPr>
          <w:rFonts w:ascii="Arial" w:hAnsi="Arial" w:cs="Arial"/>
          <w:i/>
          <w:iCs/>
          <w:color w:val="000000" w:themeColor="text1"/>
        </w:rPr>
        <w:t>The Oxford Handbook of Sikh Studies</w:t>
      </w:r>
      <w:r w:rsidR="00384767" w:rsidRPr="00FF3FA7">
        <w:rPr>
          <w:rFonts w:ascii="Arial" w:hAnsi="Arial" w:cs="Arial"/>
          <w:color w:val="000000" w:themeColor="text1"/>
        </w:rPr>
        <w:t xml:space="preserve"> (1</w:t>
      </w:r>
      <w:r w:rsidR="00384767" w:rsidRPr="00FF3FA7">
        <w:rPr>
          <w:rFonts w:ascii="Arial" w:hAnsi="Arial" w:cs="Arial"/>
          <w:color w:val="000000" w:themeColor="text1"/>
          <w:vertAlign w:val="superscript"/>
        </w:rPr>
        <w:t>st</w:t>
      </w:r>
      <w:r w:rsidR="00384767" w:rsidRPr="00FF3FA7">
        <w:rPr>
          <w:rFonts w:ascii="Arial" w:hAnsi="Arial" w:cs="Arial"/>
          <w:color w:val="000000" w:themeColor="text1"/>
        </w:rPr>
        <w:t xml:space="preserve"> edn, OUP 2014)</w:t>
      </w:r>
      <w:r w:rsidR="00FB32F9" w:rsidRPr="00FF3FA7">
        <w:rPr>
          <w:rFonts w:ascii="Arial" w:hAnsi="Arial" w:cs="Arial"/>
          <w:color w:val="000000" w:themeColor="text1"/>
        </w:rPr>
        <w:t>, p.2.</w:t>
      </w:r>
    </w:p>
  </w:footnote>
  <w:footnote w:id="11">
    <w:p w14:paraId="4EF0E4F8" w14:textId="79722D65"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384767" w:rsidRPr="00FF3FA7">
        <w:rPr>
          <w:rFonts w:ascii="Arial" w:hAnsi="Arial" w:cs="Arial"/>
          <w:color w:val="000000" w:themeColor="text1"/>
        </w:rPr>
        <w:t xml:space="preserve">P. Singh, </w:t>
      </w:r>
      <w:r w:rsidR="00384767" w:rsidRPr="00FF3FA7">
        <w:rPr>
          <w:rFonts w:ascii="Arial" w:hAnsi="Arial" w:cs="Arial"/>
          <w:i/>
          <w:iCs/>
          <w:color w:val="000000" w:themeColor="text1"/>
        </w:rPr>
        <w:t>supra</w:t>
      </w:r>
      <w:r w:rsidR="00384767" w:rsidRPr="00FF3FA7">
        <w:rPr>
          <w:rFonts w:ascii="Arial" w:hAnsi="Arial" w:cs="Arial"/>
          <w:color w:val="000000" w:themeColor="text1"/>
        </w:rPr>
        <w:t xml:space="preserve"> n.1</w:t>
      </w:r>
      <w:r w:rsidR="00FB32F9" w:rsidRPr="00FF3FA7">
        <w:rPr>
          <w:rFonts w:ascii="Arial" w:hAnsi="Arial" w:cs="Arial"/>
          <w:color w:val="000000" w:themeColor="text1"/>
        </w:rPr>
        <w:t>.</w:t>
      </w:r>
    </w:p>
  </w:footnote>
  <w:footnote w:id="12">
    <w:p w14:paraId="4A21BA55" w14:textId="66FA17B1" w:rsidR="006C4F70" w:rsidRPr="00FF3FA7" w:rsidRDefault="006C4F70" w:rsidP="00FB32F9">
      <w:pPr>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Sutton Trust and the Social Mobility Commission</w:t>
      </w:r>
      <w:r w:rsidR="00384767" w:rsidRPr="00FF3FA7">
        <w:rPr>
          <w:rFonts w:ascii="Arial" w:hAnsi="Arial" w:cs="Arial"/>
          <w:color w:val="000000" w:themeColor="text1"/>
          <w:sz w:val="20"/>
          <w:szCs w:val="20"/>
        </w:rPr>
        <w:t>, ‘Elitist Britain 2019</w:t>
      </w:r>
      <w:r w:rsidR="00FB32F9" w:rsidRPr="00FF3FA7">
        <w:rPr>
          <w:rFonts w:ascii="Arial" w:hAnsi="Arial" w:cs="Arial"/>
          <w:color w:val="000000" w:themeColor="text1"/>
          <w:sz w:val="20"/>
          <w:szCs w:val="20"/>
        </w:rPr>
        <w:t>: The educational background of Britain’s leading people</w:t>
      </w:r>
      <w:r w:rsidR="00384767" w:rsidRPr="00FF3FA7">
        <w:rPr>
          <w:rFonts w:ascii="Arial" w:hAnsi="Arial" w:cs="Arial"/>
          <w:color w:val="000000" w:themeColor="text1"/>
          <w:sz w:val="20"/>
          <w:szCs w:val="20"/>
        </w:rPr>
        <w:t>’ (June 2019)</w:t>
      </w:r>
      <w:r w:rsidR="00FB32F9" w:rsidRPr="00FF3FA7">
        <w:rPr>
          <w:rFonts w:ascii="Arial" w:hAnsi="Arial" w:cs="Arial"/>
          <w:color w:val="000000" w:themeColor="text1"/>
          <w:sz w:val="20"/>
          <w:szCs w:val="20"/>
        </w:rPr>
        <w:t xml:space="preserve"> &lt;</w:t>
      </w:r>
      <w:hyperlink r:id="rId1" w:history="1">
        <w:r w:rsidR="00FB32F9" w:rsidRPr="00FF3FA7">
          <w:rPr>
            <w:rStyle w:val="Hyperlink"/>
            <w:rFonts w:ascii="Arial" w:hAnsi="Arial" w:cs="Arial"/>
            <w:color w:val="000000" w:themeColor="text1"/>
            <w:sz w:val="20"/>
            <w:szCs w:val="20"/>
          </w:rPr>
          <w:t>https://www.suttontrust.com/wp-content/uploads/2019/06/Elitist-Britain-2019.pdf</w:t>
        </w:r>
      </w:hyperlink>
      <w:r w:rsidR="00FB32F9" w:rsidRPr="00FF3FA7">
        <w:rPr>
          <w:rFonts w:ascii="Arial" w:hAnsi="Arial" w:cs="Arial"/>
          <w:color w:val="000000" w:themeColor="text1"/>
          <w:sz w:val="20"/>
          <w:szCs w:val="20"/>
        </w:rPr>
        <w:t>&gt; accessed 7 September 2019.</w:t>
      </w:r>
    </w:p>
  </w:footnote>
  <w:footnote w:id="13">
    <w:p w14:paraId="6FE15D1B" w14:textId="2C58999D"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384767" w:rsidRPr="00FF3FA7">
        <w:rPr>
          <w:rFonts w:ascii="Arial" w:hAnsi="Arial" w:cs="Arial"/>
          <w:color w:val="000000" w:themeColor="text1"/>
        </w:rPr>
        <w:t>Channel 4 FactCheck, ‘Oxford was more likely to offer a place to the best black candidates last year – but its race problem is more complicated than that’ (24 May 2018)</w:t>
      </w:r>
      <w:r w:rsidR="00FB32F9" w:rsidRPr="00FF3FA7">
        <w:rPr>
          <w:rFonts w:ascii="Arial" w:hAnsi="Arial" w:cs="Arial"/>
          <w:color w:val="000000" w:themeColor="text1"/>
        </w:rPr>
        <w:t xml:space="preserve"> &lt;</w:t>
      </w:r>
      <w:hyperlink r:id="rId2" w:history="1">
        <w:r w:rsidR="00FB32F9" w:rsidRPr="00FF3FA7">
          <w:rPr>
            <w:rStyle w:val="Hyperlink"/>
            <w:rFonts w:ascii="Arial" w:hAnsi="Arial" w:cs="Arial"/>
            <w:color w:val="000000" w:themeColor="text1"/>
          </w:rPr>
          <w:t>https://www.channel4.com/news/factcheck/factcheck-oxford-is-actually-more-likely-to-offer-a-place-to-the-best-black-candidates</w:t>
        </w:r>
      </w:hyperlink>
      <w:r w:rsidR="00FB32F9" w:rsidRPr="00FF3FA7">
        <w:rPr>
          <w:rFonts w:ascii="Arial" w:hAnsi="Arial" w:cs="Arial"/>
          <w:color w:val="000000" w:themeColor="text1"/>
        </w:rPr>
        <w:t xml:space="preserve">&gt; </w:t>
      </w:r>
      <w:r w:rsidR="001931C7" w:rsidRPr="00FF3FA7">
        <w:rPr>
          <w:rFonts w:ascii="Arial" w:hAnsi="Arial" w:cs="Arial"/>
          <w:color w:val="000000" w:themeColor="text1"/>
        </w:rPr>
        <w:t>accessed 7 September 2019</w:t>
      </w:r>
      <w:r w:rsidR="00FB32F9" w:rsidRPr="00FF3FA7">
        <w:rPr>
          <w:rFonts w:ascii="Arial" w:hAnsi="Arial" w:cs="Arial"/>
          <w:color w:val="000000" w:themeColor="text1"/>
        </w:rPr>
        <w:t>.</w:t>
      </w:r>
    </w:p>
  </w:footnote>
  <w:footnote w:id="14">
    <w:p w14:paraId="75E8CDEC" w14:textId="19C02069" w:rsidR="006C4F70" w:rsidRPr="00FF3FA7" w:rsidRDefault="006C4F70" w:rsidP="00FF3FA7">
      <w:pPr>
        <w:spacing w:after="0"/>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w:t>
      </w:r>
      <w:r w:rsidR="001931C7" w:rsidRPr="00FF3FA7">
        <w:rPr>
          <w:rFonts w:ascii="Arial" w:hAnsi="Arial" w:cs="Arial"/>
          <w:color w:val="000000" w:themeColor="text1"/>
          <w:sz w:val="20"/>
          <w:szCs w:val="20"/>
        </w:rPr>
        <w:t>A. Walker, ‘Two-thirds of Boris Johnson’s cabinet went to private schools’</w:t>
      </w:r>
      <w:r w:rsidR="00FF3FA7" w:rsidRPr="00FF3FA7">
        <w:rPr>
          <w:rFonts w:ascii="Arial" w:hAnsi="Arial" w:cs="Arial"/>
          <w:color w:val="000000" w:themeColor="text1"/>
          <w:sz w:val="20"/>
          <w:szCs w:val="20"/>
        </w:rPr>
        <w:t>,</w:t>
      </w:r>
      <w:r w:rsidR="001931C7" w:rsidRPr="00FF3FA7">
        <w:rPr>
          <w:rFonts w:ascii="Arial" w:hAnsi="Arial" w:cs="Arial"/>
          <w:color w:val="000000" w:themeColor="text1"/>
          <w:sz w:val="20"/>
          <w:szCs w:val="20"/>
        </w:rPr>
        <w:t xml:space="preserve"> </w:t>
      </w:r>
      <w:r w:rsidR="001931C7" w:rsidRPr="00FF3FA7">
        <w:rPr>
          <w:rFonts w:ascii="Arial" w:hAnsi="Arial" w:cs="Arial"/>
          <w:i/>
          <w:iCs/>
          <w:color w:val="000000" w:themeColor="text1"/>
          <w:sz w:val="20"/>
          <w:szCs w:val="20"/>
        </w:rPr>
        <w:t>The Guardian</w:t>
      </w:r>
      <w:r w:rsidR="001931C7" w:rsidRPr="00FF3FA7">
        <w:rPr>
          <w:rFonts w:ascii="Arial" w:hAnsi="Arial" w:cs="Arial"/>
          <w:color w:val="000000" w:themeColor="text1"/>
          <w:sz w:val="20"/>
          <w:szCs w:val="20"/>
        </w:rPr>
        <w:t xml:space="preserve"> (25 July 2019)</w:t>
      </w:r>
      <w:r w:rsidR="00FF3FA7" w:rsidRPr="00FF3FA7">
        <w:rPr>
          <w:rFonts w:ascii="Arial" w:hAnsi="Arial" w:cs="Arial"/>
          <w:color w:val="000000" w:themeColor="text1"/>
          <w:sz w:val="20"/>
          <w:szCs w:val="20"/>
        </w:rPr>
        <w:t xml:space="preserve"> &lt;</w:t>
      </w:r>
      <w:hyperlink r:id="rId3" w:history="1">
        <w:r w:rsidR="00FF3FA7" w:rsidRPr="00FF3FA7">
          <w:rPr>
            <w:rStyle w:val="Hyperlink"/>
            <w:rFonts w:ascii="Arial" w:hAnsi="Arial" w:cs="Arial"/>
            <w:color w:val="000000" w:themeColor="text1"/>
            <w:sz w:val="20"/>
            <w:szCs w:val="20"/>
          </w:rPr>
          <w:t>https://www.theguardian.com/education/2019/jul/25/two-thirds-of-boris-johnsons-cabinet-went-to-private-schools</w:t>
        </w:r>
      </w:hyperlink>
      <w:r w:rsidR="00FF3FA7" w:rsidRPr="00FF3FA7">
        <w:rPr>
          <w:rFonts w:ascii="Arial" w:hAnsi="Arial" w:cs="Arial"/>
          <w:color w:val="000000" w:themeColor="text1"/>
          <w:sz w:val="20"/>
          <w:szCs w:val="20"/>
        </w:rPr>
        <w:t>&gt; accessed 7 September 2019.</w:t>
      </w:r>
    </w:p>
  </w:footnote>
  <w:footnote w:id="15">
    <w:p w14:paraId="5A576F46" w14:textId="4E890ED5" w:rsidR="006C4F70" w:rsidRPr="00FF3FA7" w:rsidRDefault="006C4F70" w:rsidP="00FF3FA7">
      <w:pPr>
        <w:spacing w:after="0"/>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Bar Standards Board</w:t>
      </w:r>
      <w:r w:rsidR="001931C7" w:rsidRPr="00FF3FA7">
        <w:rPr>
          <w:rFonts w:ascii="Arial" w:hAnsi="Arial" w:cs="Arial"/>
          <w:color w:val="000000" w:themeColor="text1"/>
          <w:sz w:val="20"/>
          <w:szCs w:val="20"/>
        </w:rPr>
        <w:t>, ‘</w:t>
      </w:r>
      <w:r w:rsidRPr="00FF3FA7">
        <w:rPr>
          <w:rFonts w:ascii="Arial" w:hAnsi="Arial" w:cs="Arial"/>
          <w:color w:val="000000" w:themeColor="text1"/>
          <w:sz w:val="20"/>
          <w:szCs w:val="20"/>
        </w:rPr>
        <w:t>Diversity at the Bar 2018</w:t>
      </w:r>
      <w:r w:rsidR="001931C7" w:rsidRPr="00FF3FA7">
        <w:rPr>
          <w:rFonts w:ascii="Arial" w:hAnsi="Arial" w:cs="Arial"/>
          <w:color w:val="000000" w:themeColor="text1"/>
          <w:sz w:val="20"/>
          <w:szCs w:val="20"/>
        </w:rPr>
        <w:t>’</w:t>
      </w:r>
      <w:r w:rsidRPr="00FF3FA7">
        <w:rPr>
          <w:rFonts w:ascii="Arial" w:hAnsi="Arial" w:cs="Arial"/>
          <w:color w:val="000000" w:themeColor="text1"/>
          <w:sz w:val="20"/>
          <w:szCs w:val="20"/>
        </w:rPr>
        <w:t xml:space="preserve"> (February 2019)</w:t>
      </w:r>
      <w:r w:rsidR="00FF3FA7" w:rsidRPr="00FF3FA7">
        <w:rPr>
          <w:rFonts w:ascii="Arial" w:hAnsi="Arial" w:cs="Arial"/>
          <w:color w:val="000000" w:themeColor="text1"/>
          <w:sz w:val="20"/>
          <w:szCs w:val="20"/>
        </w:rPr>
        <w:t xml:space="preserve"> &lt;</w:t>
      </w:r>
      <w:hyperlink r:id="rId4" w:history="1">
        <w:r w:rsidR="00FF3FA7" w:rsidRPr="00FF3FA7">
          <w:rPr>
            <w:rStyle w:val="Hyperlink"/>
            <w:rFonts w:ascii="Arial" w:hAnsi="Arial" w:cs="Arial"/>
            <w:color w:val="000000" w:themeColor="text1"/>
            <w:sz w:val="20"/>
            <w:szCs w:val="20"/>
          </w:rPr>
          <w:t>https://www.barstandardsboard.org.uk/media/1975681/diversity_at_the_bar_2018.pdf</w:t>
        </w:r>
      </w:hyperlink>
      <w:r w:rsidR="00FF3FA7" w:rsidRPr="00FF3FA7">
        <w:rPr>
          <w:rFonts w:ascii="Arial" w:hAnsi="Arial" w:cs="Arial"/>
          <w:color w:val="000000" w:themeColor="text1"/>
          <w:sz w:val="20"/>
          <w:szCs w:val="20"/>
        </w:rPr>
        <w:t>&gt; accessed 7 September 2019.</w:t>
      </w:r>
    </w:p>
  </w:footnote>
  <w:footnote w:id="16">
    <w:p w14:paraId="35EB6EC7" w14:textId="10297A40" w:rsidR="001931C7" w:rsidRPr="00FF3FA7" w:rsidRDefault="001931C7" w:rsidP="00FF3FA7">
      <w:pPr>
        <w:spacing w:after="0"/>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O. Bowcott, ‘Most senior judges and top QCs still privately educated, figures show’</w:t>
      </w:r>
      <w:r w:rsidR="00FF3FA7" w:rsidRPr="00FF3FA7">
        <w:rPr>
          <w:rFonts w:ascii="Arial" w:hAnsi="Arial" w:cs="Arial"/>
          <w:color w:val="000000" w:themeColor="text1"/>
          <w:sz w:val="20"/>
          <w:szCs w:val="20"/>
        </w:rPr>
        <w:t>,</w:t>
      </w:r>
      <w:r w:rsidRPr="00FF3FA7">
        <w:rPr>
          <w:rFonts w:ascii="Arial" w:hAnsi="Arial" w:cs="Arial"/>
          <w:color w:val="000000" w:themeColor="text1"/>
          <w:sz w:val="20"/>
          <w:szCs w:val="20"/>
        </w:rPr>
        <w:t xml:space="preserve"> </w:t>
      </w:r>
      <w:r w:rsidRPr="00FF3FA7">
        <w:rPr>
          <w:rFonts w:ascii="Arial" w:hAnsi="Arial" w:cs="Arial"/>
          <w:i/>
          <w:iCs/>
          <w:color w:val="000000" w:themeColor="text1"/>
          <w:sz w:val="20"/>
          <w:szCs w:val="20"/>
        </w:rPr>
        <w:t>The Guardian</w:t>
      </w:r>
      <w:r w:rsidRPr="00FF3FA7">
        <w:rPr>
          <w:rFonts w:ascii="Arial" w:hAnsi="Arial" w:cs="Arial"/>
          <w:color w:val="000000" w:themeColor="text1"/>
          <w:sz w:val="20"/>
          <w:szCs w:val="20"/>
        </w:rPr>
        <w:t xml:space="preserve"> (23 November 2015)</w:t>
      </w:r>
      <w:r w:rsidR="00FF3FA7" w:rsidRPr="00FF3FA7">
        <w:rPr>
          <w:rFonts w:ascii="Arial" w:hAnsi="Arial" w:cs="Arial"/>
          <w:color w:val="000000" w:themeColor="text1"/>
          <w:sz w:val="20"/>
          <w:szCs w:val="20"/>
        </w:rPr>
        <w:t xml:space="preserve"> &lt;</w:t>
      </w:r>
      <w:hyperlink r:id="rId5" w:history="1">
        <w:r w:rsidR="00FF3FA7" w:rsidRPr="00FF3FA7">
          <w:rPr>
            <w:rStyle w:val="Hyperlink"/>
            <w:rFonts w:ascii="Arial" w:hAnsi="Arial" w:cs="Arial"/>
            <w:color w:val="000000" w:themeColor="text1"/>
            <w:sz w:val="20"/>
            <w:szCs w:val="20"/>
          </w:rPr>
          <w:t>https://www.theguardian.com/law/2015/nov/23/most-senior-judges-top-qcs-still-privately-educated-figures-show</w:t>
        </w:r>
      </w:hyperlink>
      <w:r w:rsidR="00FF3FA7" w:rsidRPr="00FF3FA7">
        <w:rPr>
          <w:rFonts w:ascii="Arial" w:hAnsi="Arial" w:cs="Arial"/>
          <w:color w:val="000000" w:themeColor="text1"/>
          <w:sz w:val="20"/>
          <w:szCs w:val="20"/>
        </w:rPr>
        <w:t>&gt; accessed 7 September 2019. S</w:t>
      </w:r>
      <w:r w:rsidRPr="00FF3FA7">
        <w:rPr>
          <w:rFonts w:ascii="Arial" w:hAnsi="Arial" w:cs="Arial"/>
          <w:color w:val="000000" w:themeColor="text1"/>
          <w:sz w:val="20"/>
          <w:szCs w:val="20"/>
        </w:rPr>
        <w:t>ee also J.</w:t>
      </w:r>
      <w:r w:rsidR="00FF3FA7" w:rsidRPr="00FF3FA7">
        <w:rPr>
          <w:rFonts w:ascii="Arial" w:hAnsi="Arial" w:cs="Arial"/>
          <w:color w:val="000000" w:themeColor="text1"/>
          <w:sz w:val="20"/>
          <w:szCs w:val="20"/>
        </w:rPr>
        <w:t xml:space="preserve"> </w:t>
      </w:r>
      <w:r w:rsidRPr="00FF3FA7">
        <w:rPr>
          <w:rFonts w:ascii="Arial" w:hAnsi="Arial" w:cs="Arial"/>
          <w:color w:val="000000" w:themeColor="text1"/>
          <w:sz w:val="20"/>
          <w:szCs w:val="20"/>
        </w:rPr>
        <w:t>A.</w:t>
      </w:r>
      <w:r w:rsidR="00FF3FA7" w:rsidRPr="00FF3FA7">
        <w:rPr>
          <w:rFonts w:ascii="Arial" w:hAnsi="Arial" w:cs="Arial"/>
          <w:color w:val="000000" w:themeColor="text1"/>
          <w:sz w:val="20"/>
          <w:szCs w:val="20"/>
        </w:rPr>
        <w:t xml:space="preserve"> </w:t>
      </w:r>
      <w:r w:rsidRPr="00FF3FA7">
        <w:rPr>
          <w:rFonts w:ascii="Arial" w:hAnsi="Arial" w:cs="Arial"/>
          <w:color w:val="000000" w:themeColor="text1"/>
          <w:sz w:val="20"/>
          <w:szCs w:val="20"/>
        </w:rPr>
        <w:t xml:space="preserve">G. Griffith, </w:t>
      </w:r>
      <w:r w:rsidRPr="00FF3FA7">
        <w:rPr>
          <w:rFonts w:ascii="Arial" w:hAnsi="Arial" w:cs="Arial"/>
          <w:i/>
          <w:iCs/>
          <w:color w:val="000000" w:themeColor="text1"/>
          <w:sz w:val="20"/>
          <w:szCs w:val="20"/>
        </w:rPr>
        <w:t>The Politics of the Judiciary</w:t>
      </w:r>
      <w:r w:rsidRPr="00FF3FA7">
        <w:rPr>
          <w:rFonts w:ascii="Arial" w:hAnsi="Arial" w:cs="Arial"/>
          <w:color w:val="000000" w:themeColor="text1"/>
          <w:sz w:val="20"/>
          <w:szCs w:val="20"/>
        </w:rPr>
        <w:t xml:space="preserve"> (5</w:t>
      </w:r>
      <w:r w:rsidRPr="00FF3FA7">
        <w:rPr>
          <w:rFonts w:ascii="Arial" w:hAnsi="Arial" w:cs="Arial"/>
          <w:color w:val="000000" w:themeColor="text1"/>
          <w:sz w:val="20"/>
          <w:szCs w:val="20"/>
          <w:vertAlign w:val="superscript"/>
        </w:rPr>
        <w:t>th</w:t>
      </w:r>
      <w:r w:rsidRPr="00FF3FA7">
        <w:rPr>
          <w:rFonts w:ascii="Arial" w:hAnsi="Arial" w:cs="Arial"/>
          <w:color w:val="000000" w:themeColor="text1"/>
          <w:sz w:val="20"/>
          <w:szCs w:val="20"/>
        </w:rPr>
        <w:t xml:space="preserve"> edn, Fontana Press 2010)</w:t>
      </w:r>
      <w:r w:rsidR="00FF3FA7" w:rsidRPr="00FF3FA7">
        <w:rPr>
          <w:rFonts w:ascii="Arial" w:hAnsi="Arial" w:cs="Arial"/>
          <w:color w:val="000000" w:themeColor="text1"/>
          <w:sz w:val="20"/>
          <w:szCs w:val="20"/>
        </w:rPr>
        <w:t>.</w:t>
      </w:r>
    </w:p>
  </w:footnote>
  <w:footnote w:id="17">
    <w:p w14:paraId="2D42E6DF" w14:textId="75DF3CB9" w:rsidR="006C4F70" w:rsidRPr="00FF3FA7" w:rsidRDefault="006C4F70" w:rsidP="00FF3FA7">
      <w:pPr>
        <w:spacing w:after="0"/>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w:t>
      </w:r>
      <w:r w:rsidR="00EC7193" w:rsidRPr="00FF3FA7">
        <w:rPr>
          <w:rFonts w:ascii="Arial" w:hAnsi="Arial" w:cs="Arial"/>
          <w:color w:val="000000" w:themeColor="text1"/>
          <w:sz w:val="20"/>
          <w:szCs w:val="20"/>
        </w:rPr>
        <w:t>R. Partington, ‘</w:t>
      </w:r>
      <w:r w:rsidRPr="00FF3FA7">
        <w:rPr>
          <w:rFonts w:ascii="Arial" w:hAnsi="Arial" w:cs="Arial"/>
          <w:color w:val="000000" w:themeColor="text1"/>
          <w:sz w:val="20"/>
          <w:szCs w:val="20"/>
        </w:rPr>
        <w:t>Britain risks heading to US levels of inequality, warns top economist</w:t>
      </w:r>
      <w:r w:rsidR="00EC7193" w:rsidRPr="00FF3FA7">
        <w:rPr>
          <w:rFonts w:ascii="Arial" w:hAnsi="Arial" w:cs="Arial"/>
          <w:color w:val="000000" w:themeColor="text1"/>
          <w:sz w:val="20"/>
          <w:szCs w:val="20"/>
        </w:rPr>
        <w:t>’</w:t>
      </w:r>
      <w:r w:rsidR="00FF3FA7" w:rsidRPr="00FF3FA7">
        <w:rPr>
          <w:rFonts w:ascii="Arial" w:hAnsi="Arial" w:cs="Arial"/>
          <w:color w:val="000000" w:themeColor="text1"/>
          <w:sz w:val="20"/>
          <w:szCs w:val="20"/>
        </w:rPr>
        <w:t>,</w:t>
      </w:r>
      <w:r w:rsidR="00EC7193" w:rsidRPr="00FF3FA7">
        <w:rPr>
          <w:rFonts w:ascii="Arial" w:hAnsi="Arial" w:cs="Arial"/>
          <w:color w:val="000000" w:themeColor="text1"/>
          <w:sz w:val="20"/>
          <w:szCs w:val="20"/>
        </w:rPr>
        <w:t xml:space="preserve"> </w:t>
      </w:r>
      <w:r w:rsidR="00EC7193" w:rsidRPr="00FF3FA7">
        <w:rPr>
          <w:rFonts w:ascii="Arial" w:hAnsi="Arial" w:cs="Arial"/>
          <w:i/>
          <w:iCs/>
          <w:color w:val="000000" w:themeColor="text1"/>
          <w:sz w:val="20"/>
          <w:szCs w:val="20"/>
        </w:rPr>
        <w:t>The Guardian</w:t>
      </w:r>
      <w:r w:rsidR="00EC7193" w:rsidRPr="00FF3FA7">
        <w:rPr>
          <w:rFonts w:ascii="Arial" w:hAnsi="Arial" w:cs="Arial"/>
          <w:color w:val="000000" w:themeColor="text1"/>
          <w:sz w:val="20"/>
          <w:szCs w:val="20"/>
        </w:rPr>
        <w:t xml:space="preserve"> (14 May 2019)</w:t>
      </w:r>
      <w:r w:rsidR="00FF3FA7" w:rsidRPr="00FF3FA7">
        <w:rPr>
          <w:rFonts w:ascii="Arial" w:hAnsi="Arial" w:cs="Arial"/>
          <w:color w:val="000000" w:themeColor="text1"/>
          <w:sz w:val="20"/>
          <w:szCs w:val="20"/>
        </w:rPr>
        <w:t xml:space="preserve"> &lt;</w:t>
      </w:r>
      <w:hyperlink r:id="rId6" w:history="1">
        <w:r w:rsidR="00FF3FA7" w:rsidRPr="00FF3FA7">
          <w:rPr>
            <w:rStyle w:val="Hyperlink"/>
            <w:rFonts w:ascii="Arial" w:hAnsi="Arial" w:cs="Arial"/>
            <w:color w:val="000000" w:themeColor="text1"/>
            <w:sz w:val="20"/>
            <w:szCs w:val="20"/>
          </w:rPr>
          <w:t>https://www.theguardian.com/inequality/2019/may/14/britain-risks-heading-to-us-levels-of-inequality-warns-top-economist</w:t>
        </w:r>
      </w:hyperlink>
      <w:r w:rsidR="00FF3FA7" w:rsidRPr="00FF3FA7">
        <w:rPr>
          <w:rFonts w:ascii="Arial" w:hAnsi="Arial" w:cs="Arial"/>
          <w:color w:val="000000" w:themeColor="text1"/>
          <w:sz w:val="20"/>
          <w:szCs w:val="20"/>
        </w:rPr>
        <w:t>&gt; accessed 7 September 2019. S</w:t>
      </w:r>
      <w:r w:rsidRPr="00FF3FA7">
        <w:rPr>
          <w:rFonts w:ascii="Arial" w:hAnsi="Arial" w:cs="Arial"/>
          <w:color w:val="000000" w:themeColor="text1"/>
          <w:sz w:val="20"/>
          <w:szCs w:val="20"/>
        </w:rPr>
        <w:t xml:space="preserve">ee also </w:t>
      </w:r>
      <w:r w:rsidR="00EC7193" w:rsidRPr="00FF3FA7">
        <w:rPr>
          <w:rFonts w:ascii="Arial" w:hAnsi="Arial" w:cs="Arial"/>
          <w:color w:val="000000" w:themeColor="text1"/>
          <w:sz w:val="20"/>
          <w:szCs w:val="20"/>
        </w:rPr>
        <w:t>R. Partington, ‘</w:t>
      </w:r>
      <w:r w:rsidRPr="00FF3FA7">
        <w:rPr>
          <w:rFonts w:ascii="Arial" w:hAnsi="Arial" w:cs="Arial"/>
          <w:color w:val="000000" w:themeColor="text1"/>
          <w:sz w:val="20"/>
          <w:szCs w:val="20"/>
        </w:rPr>
        <w:t>UK income inequality increasing as benefits cuts hit poorest</w:t>
      </w:r>
      <w:r w:rsidR="00EC7193" w:rsidRPr="00FF3FA7">
        <w:rPr>
          <w:rFonts w:ascii="Arial" w:hAnsi="Arial" w:cs="Arial"/>
          <w:color w:val="000000" w:themeColor="text1"/>
          <w:sz w:val="20"/>
          <w:szCs w:val="20"/>
        </w:rPr>
        <w:t>’</w:t>
      </w:r>
      <w:r w:rsidR="00FF3FA7" w:rsidRPr="00FF3FA7">
        <w:rPr>
          <w:rFonts w:ascii="Arial" w:hAnsi="Arial" w:cs="Arial"/>
          <w:color w:val="000000" w:themeColor="text1"/>
          <w:sz w:val="20"/>
          <w:szCs w:val="20"/>
        </w:rPr>
        <w:t>,</w:t>
      </w:r>
      <w:r w:rsidR="00EC7193" w:rsidRPr="00FF3FA7">
        <w:rPr>
          <w:rFonts w:ascii="Arial" w:hAnsi="Arial" w:cs="Arial"/>
          <w:color w:val="000000" w:themeColor="text1"/>
          <w:sz w:val="20"/>
          <w:szCs w:val="20"/>
        </w:rPr>
        <w:t xml:space="preserve"> </w:t>
      </w:r>
      <w:r w:rsidR="00EC7193" w:rsidRPr="00FF3FA7">
        <w:rPr>
          <w:rFonts w:ascii="Arial" w:hAnsi="Arial" w:cs="Arial"/>
          <w:i/>
          <w:iCs/>
          <w:color w:val="000000" w:themeColor="text1"/>
          <w:sz w:val="20"/>
          <w:szCs w:val="20"/>
        </w:rPr>
        <w:t>The Guardian</w:t>
      </w:r>
      <w:r w:rsidR="00EC7193" w:rsidRPr="00FF3FA7">
        <w:rPr>
          <w:rFonts w:ascii="Arial" w:hAnsi="Arial" w:cs="Arial"/>
          <w:color w:val="000000" w:themeColor="text1"/>
          <w:sz w:val="20"/>
          <w:szCs w:val="20"/>
        </w:rPr>
        <w:t xml:space="preserve"> (26 February 2019)</w:t>
      </w:r>
      <w:r w:rsidR="00FF3FA7" w:rsidRPr="00FF3FA7">
        <w:rPr>
          <w:rFonts w:ascii="Arial" w:hAnsi="Arial" w:cs="Arial"/>
          <w:color w:val="000000" w:themeColor="text1"/>
          <w:sz w:val="20"/>
          <w:szCs w:val="20"/>
        </w:rPr>
        <w:t xml:space="preserve"> &lt;</w:t>
      </w:r>
      <w:hyperlink r:id="rId7" w:history="1">
        <w:r w:rsidR="00FF3FA7" w:rsidRPr="00FF3FA7">
          <w:rPr>
            <w:rStyle w:val="Hyperlink"/>
            <w:rFonts w:ascii="Arial" w:hAnsi="Arial" w:cs="Arial"/>
            <w:color w:val="000000" w:themeColor="text1"/>
            <w:sz w:val="20"/>
            <w:szCs w:val="20"/>
          </w:rPr>
          <w:t>https://www.theguardian.com/inequality/2019/feb/26/uk-income-inequality-benefits-income-ons</w:t>
        </w:r>
      </w:hyperlink>
      <w:r w:rsidR="00FF3FA7" w:rsidRPr="00FF3FA7">
        <w:rPr>
          <w:rFonts w:ascii="Arial" w:hAnsi="Arial" w:cs="Arial"/>
          <w:color w:val="000000" w:themeColor="text1"/>
          <w:sz w:val="20"/>
          <w:szCs w:val="20"/>
        </w:rPr>
        <w:t>&gt; accessed 7 September 2019.</w:t>
      </w:r>
    </w:p>
  </w:footnote>
  <w:footnote w:id="18">
    <w:p w14:paraId="66837682" w14:textId="0655B452"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EC7193" w:rsidRPr="00FF3FA7">
        <w:rPr>
          <w:rFonts w:ascii="Arial" w:hAnsi="Arial" w:cs="Arial"/>
          <w:color w:val="000000" w:themeColor="text1"/>
        </w:rPr>
        <w:t xml:space="preserve">R. Partington, </w:t>
      </w:r>
      <w:r w:rsidR="00EC7193" w:rsidRPr="00FF3FA7">
        <w:rPr>
          <w:rFonts w:ascii="Arial" w:hAnsi="Arial" w:cs="Arial"/>
          <w:i/>
          <w:iCs/>
          <w:color w:val="000000" w:themeColor="text1"/>
        </w:rPr>
        <w:t>supra</w:t>
      </w:r>
      <w:r w:rsidR="00EC7193" w:rsidRPr="00FF3FA7">
        <w:rPr>
          <w:rFonts w:ascii="Arial" w:hAnsi="Arial" w:cs="Arial"/>
          <w:color w:val="000000" w:themeColor="text1"/>
        </w:rPr>
        <w:t xml:space="preserve"> n.17</w:t>
      </w:r>
      <w:r w:rsidR="00FF3FA7" w:rsidRPr="00FF3FA7">
        <w:rPr>
          <w:rFonts w:ascii="Arial" w:hAnsi="Arial" w:cs="Arial"/>
          <w:color w:val="000000" w:themeColor="text1"/>
        </w:rPr>
        <w:t>.</w:t>
      </w:r>
      <w:r w:rsidRPr="00FF3FA7">
        <w:rPr>
          <w:rFonts w:ascii="Arial" w:hAnsi="Arial" w:cs="Arial"/>
          <w:color w:val="000000" w:themeColor="text1"/>
        </w:rPr>
        <w:t xml:space="preserve"> </w:t>
      </w:r>
      <w:r w:rsidR="00FF3FA7" w:rsidRPr="00FF3FA7">
        <w:rPr>
          <w:rFonts w:ascii="Arial" w:hAnsi="Arial" w:cs="Arial"/>
          <w:color w:val="000000" w:themeColor="text1"/>
        </w:rPr>
        <w:t>S</w:t>
      </w:r>
      <w:r w:rsidRPr="00FF3FA7">
        <w:rPr>
          <w:rFonts w:ascii="Arial" w:hAnsi="Arial" w:cs="Arial"/>
          <w:color w:val="000000" w:themeColor="text1"/>
        </w:rPr>
        <w:t xml:space="preserve">ee also </w:t>
      </w:r>
      <w:r w:rsidR="00EC7193" w:rsidRPr="00FF3FA7">
        <w:rPr>
          <w:rFonts w:ascii="Arial" w:hAnsi="Arial" w:cs="Arial"/>
          <w:color w:val="000000" w:themeColor="text1"/>
        </w:rPr>
        <w:t xml:space="preserve">S. Armstrong, </w:t>
      </w:r>
      <w:r w:rsidR="00EC7193" w:rsidRPr="00FF3FA7">
        <w:rPr>
          <w:rFonts w:ascii="Arial" w:hAnsi="Arial" w:cs="Arial"/>
          <w:i/>
          <w:iCs/>
          <w:color w:val="000000" w:themeColor="text1"/>
        </w:rPr>
        <w:t>T</w:t>
      </w:r>
      <w:r w:rsidRPr="00FF3FA7">
        <w:rPr>
          <w:rFonts w:ascii="Arial" w:hAnsi="Arial" w:cs="Arial"/>
          <w:i/>
          <w:iCs/>
          <w:color w:val="000000" w:themeColor="text1"/>
        </w:rPr>
        <w:t>he New Poverty</w:t>
      </w:r>
      <w:r w:rsidR="00EC7193" w:rsidRPr="00FF3FA7">
        <w:rPr>
          <w:rFonts w:ascii="Arial" w:hAnsi="Arial" w:cs="Arial"/>
          <w:color w:val="000000" w:themeColor="text1"/>
        </w:rPr>
        <w:t xml:space="preserve"> (1</w:t>
      </w:r>
      <w:r w:rsidR="00EC7193" w:rsidRPr="00FF3FA7">
        <w:rPr>
          <w:rFonts w:ascii="Arial" w:hAnsi="Arial" w:cs="Arial"/>
          <w:color w:val="000000" w:themeColor="text1"/>
          <w:vertAlign w:val="superscript"/>
        </w:rPr>
        <w:t>st</w:t>
      </w:r>
      <w:r w:rsidR="00EC7193" w:rsidRPr="00FF3FA7">
        <w:rPr>
          <w:rFonts w:ascii="Arial" w:hAnsi="Arial" w:cs="Arial"/>
          <w:color w:val="000000" w:themeColor="text1"/>
        </w:rPr>
        <w:t xml:space="preserve"> edn, Verso 2017)</w:t>
      </w:r>
      <w:r w:rsidR="00FF3FA7" w:rsidRPr="00FF3FA7">
        <w:rPr>
          <w:rFonts w:ascii="Arial" w:hAnsi="Arial" w:cs="Arial"/>
          <w:color w:val="000000" w:themeColor="text1"/>
        </w:rPr>
        <w:t>.</w:t>
      </w:r>
    </w:p>
  </w:footnote>
  <w:footnote w:id="19">
    <w:p w14:paraId="6D70F28B" w14:textId="63A366CF" w:rsidR="00CC0372" w:rsidRPr="00FF3FA7" w:rsidRDefault="00CC0372" w:rsidP="00FF3FA7">
      <w:pPr>
        <w:spacing w:after="0"/>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w:t>
      </w:r>
      <w:r w:rsidR="00FF3FA7" w:rsidRPr="00FF3FA7">
        <w:rPr>
          <w:rFonts w:ascii="Arial" w:hAnsi="Arial" w:cs="Arial"/>
          <w:color w:val="000000" w:themeColor="text1"/>
          <w:sz w:val="20"/>
          <w:szCs w:val="20"/>
        </w:rPr>
        <w:t>S</w:t>
      </w:r>
      <w:r w:rsidR="00620160" w:rsidRPr="00FF3FA7">
        <w:rPr>
          <w:rFonts w:ascii="Arial" w:hAnsi="Arial" w:cs="Arial"/>
          <w:color w:val="000000" w:themeColor="text1"/>
          <w:sz w:val="20"/>
          <w:szCs w:val="20"/>
        </w:rPr>
        <w:t>ee</w:t>
      </w:r>
      <w:r w:rsidR="00FF3FA7" w:rsidRPr="00FF3FA7">
        <w:rPr>
          <w:rFonts w:ascii="Arial" w:hAnsi="Arial" w:cs="Arial"/>
          <w:color w:val="000000" w:themeColor="text1"/>
          <w:sz w:val="20"/>
          <w:szCs w:val="20"/>
        </w:rPr>
        <w:t>, e.g.,</w:t>
      </w:r>
      <w:r w:rsidR="00620160" w:rsidRPr="00FF3FA7">
        <w:rPr>
          <w:rFonts w:ascii="Arial" w:hAnsi="Arial" w:cs="Arial"/>
          <w:color w:val="000000" w:themeColor="text1"/>
          <w:sz w:val="20"/>
          <w:szCs w:val="20"/>
        </w:rPr>
        <w:t xml:space="preserve"> Institute for Fiscal Studies, ‘Living standards, poverty and inequality in the UK in 2019’ (June 2019)</w:t>
      </w:r>
      <w:r w:rsidR="00FF3FA7" w:rsidRPr="00FF3FA7">
        <w:rPr>
          <w:rFonts w:ascii="Arial" w:hAnsi="Arial" w:cs="Arial"/>
          <w:color w:val="000000" w:themeColor="text1"/>
          <w:sz w:val="20"/>
          <w:szCs w:val="20"/>
        </w:rPr>
        <w:t xml:space="preserve"> &lt;</w:t>
      </w:r>
      <w:hyperlink r:id="rId8" w:history="1">
        <w:r w:rsidR="00FF3FA7" w:rsidRPr="00FF3FA7">
          <w:rPr>
            <w:rStyle w:val="Hyperlink"/>
            <w:rFonts w:ascii="Arial" w:hAnsi="Arial" w:cs="Arial"/>
            <w:color w:val="000000" w:themeColor="text1"/>
            <w:sz w:val="20"/>
            <w:szCs w:val="20"/>
          </w:rPr>
          <w:t>https://www.ifs.org.uk/uploads/R157-Living-Standards-Poverty-and-Inequality-2019.pdf</w:t>
        </w:r>
      </w:hyperlink>
      <w:r w:rsidR="00FF3FA7" w:rsidRPr="00FF3FA7">
        <w:rPr>
          <w:rFonts w:ascii="Arial" w:hAnsi="Arial" w:cs="Arial"/>
          <w:color w:val="000000" w:themeColor="text1"/>
          <w:sz w:val="20"/>
          <w:szCs w:val="20"/>
        </w:rPr>
        <w:t>&gt; accessed 7 September 2019. S</w:t>
      </w:r>
      <w:r w:rsidR="00620160" w:rsidRPr="00FF3FA7">
        <w:rPr>
          <w:rFonts w:ascii="Arial" w:hAnsi="Arial" w:cs="Arial"/>
          <w:color w:val="000000" w:themeColor="text1"/>
          <w:sz w:val="20"/>
          <w:szCs w:val="20"/>
        </w:rPr>
        <w:t xml:space="preserve">ee also </w:t>
      </w:r>
      <w:r w:rsidR="00EC7193" w:rsidRPr="00FF3FA7">
        <w:rPr>
          <w:rFonts w:ascii="Arial" w:hAnsi="Arial" w:cs="Arial"/>
          <w:color w:val="000000" w:themeColor="text1"/>
          <w:sz w:val="20"/>
          <w:szCs w:val="20"/>
        </w:rPr>
        <w:t>R. Richmond-Bishop, ‘Tackling Socio-Economic Inequality in the UK is an Urgent Human Rights Issue’</w:t>
      </w:r>
      <w:r w:rsidR="00FF3FA7" w:rsidRPr="00FF3FA7">
        <w:rPr>
          <w:rFonts w:ascii="Arial" w:hAnsi="Arial" w:cs="Arial"/>
          <w:color w:val="000000" w:themeColor="text1"/>
          <w:sz w:val="20"/>
          <w:szCs w:val="20"/>
        </w:rPr>
        <w:t>,</w:t>
      </w:r>
      <w:r w:rsidR="00EC7193" w:rsidRPr="00FF3FA7">
        <w:rPr>
          <w:rFonts w:ascii="Arial" w:hAnsi="Arial" w:cs="Arial"/>
          <w:color w:val="000000" w:themeColor="text1"/>
          <w:sz w:val="20"/>
          <w:szCs w:val="20"/>
        </w:rPr>
        <w:t xml:space="preserve"> </w:t>
      </w:r>
      <w:r w:rsidR="00EC7193" w:rsidRPr="00FF3FA7">
        <w:rPr>
          <w:rFonts w:ascii="Arial" w:hAnsi="Arial" w:cs="Arial"/>
          <w:i/>
          <w:iCs/>
          <w:color w:val="000000" w:themeColor="text1"/>
          <w:sz w:val="20"/>
          <w:szCs w:val="20"/>
        </w:rPr>
        <w:t>RightsInfo</w:t>
      </w:r>
      <w:r w:rsidR="00EC7193" w:rsidRPr="00FF3FA7">
        <w:rPr>
          <w:rFonts w:ascii="Arial" w:hAnsi="Arial" w:cs="Arial"/>
          <w:color w:val="000000" w:themeColor="text1"/>
          <w:sz w:val="20"/>
          <w:szCs w:val="20"/>
        </w:rPr>
        <w:t xml:space="preserve"> </w:t>
      </w:r>
      <w:r w:rsidR="00FF3FA7" w:rsidRPr="00FF3FA7">
        <w:rPr>
          <w:rFonts w:ascii="Arial" w:hAnsi="Arial" w:cs="Arial"/>
          <w:color w:val="000000" w:themeColor="text1"/>
          <w:sz w:val="20"/>
          <w:szCs w:val="20"/>
        </w:rPr>
        <w:t>(</w:t>
      </w:r>
      <w:r w:rsidR="00EC7193" w:rsidRPr="00FF3FA7">
        <w:rPr>
          <w:rFonts w:ascii="Arial" w:hAnsi="Arial" w:cs="Arial"/>
          <w:color w:val="000000" w:themeColor="text1"/>
          <w:sz w:val="20"/>
          <w:szCs w:val="20"/>
        </w:rPr>
        <w:t>23 January 2019)</w:t>
      </w:r>
      <w:r w:rsidR="00FF3FA7" w:rsidRPr="00FF3FA7">
        <w:rPr>
          <w:rFonts w:ascii="Arial" w:hAnsi="Arial" w:cs="Arial"/>
          <w:color w:val="000000" w:themeColor="text1"/>
          <w:sz w:val="20"/>
          <w:szCs w:val="20"/>
        </w:rPr>
        <w:t xml:space="preserve"> &lt;</w:t>
      </w:r>
      <w:hyperlink r:id="rId9" w:history="1">
        <w:r w:rsidR="00FF3FA7" w:rsidRPr="00FF3FA7">
          <w:rPr>
            <w:rStyle w:val="Hyperlink"/>
            <w:rFonts w:ascii="Arial" w:hAnsi="Arial" w:cs="Arial"/>
            <w:color w:val="000000" w:themeColor="text1"/>
            <w:sz w:val="20"/>
            <w:szCs w:val="20"/>
          </w:rPr>
          <w:t>https://rightsinfo.org/tackling-socio-economic-inequality-in-the-uk-is-an-urgent-human-rights-issue/</w:t>
        </w:r>
      </w:hyperlink>
      <w:r w:rsidR="00FF3FA7" w:rsidRPr="00FF3FA7">
        <w:rPr>
          <w:rFonts w:ascii="Arial" w:hAnsi="Arial" w:cs="Arial"/>
          <w:color w:val="000000" w:themeColor="text1"/>
          <w:sz w:val="20"/>
          <w:szCs w:val="20"/>
        </w:rPr>
        <w:t xml:space="preserve">&gt; </w:t>
      </w:r>
      <w:r w:rsidR="00EC7193" w:rsidRPr="00FF3FA7">
        <w:rPr>
          <w:rFonts w:ascii="Arial" w:hAnsi="Arial" w:cs="Arial"/>
          <w:color w:val="000000" w:themeColor="text1"/>
          <w:sz w:val="20"/>
          <w:szCs w:val="20"/>
        </w:rPr>
        <w:t>accessed 7 September 2019</w:t>
      </w:r>
      <w:r w:rsidR="00FF3FA7" w:rsidRPr="00FF3FA7">
        <w:rPr>
          <w:rFonts w:ascii="Arial" w:hAnsi="Arial" w:cs="Arial"/>
          <w:color w:val="000000" w:themeColor="text1"/>
          <w:sz w:val="20"/>
          <w:szCs w:val="20"/>
        </w:rPr>
        <w:t>.</w:t>
      </w:r>
    </w:p>
  </w:footnote>
  <w:footnote w:id="20">
    <w:p w14:paraId="682779F9" w14:textId="23461334" w:rsidR="001973BF" w:rsidRPr="00FF3FA7" w:rsidRDefault="001973BF">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FF3FA7" w:rsidRPr="00FF3FA7">
        <w:rPr>
          <w:rFonts w:ascii="Arial" w:hAnsi="Arial" w:cs="Arial"/>
          <w:color w:val="000000" w:themeColor="text1"/>
        </w:rPr>
        <w:t>S</w:t>
      </w:r>
      <w:r w:rsidR="008232CF" w:rsidRPr="00FF3FA7">
        <w:rPr>
          <w:rFonts w:ascii="Arial" w:hAnsi="Arial" w:cs="Arial"/>
          <w:color w:val="000000" w:themeColor="text1"/>
        </w:rPr>
        <w:t>ee</w:t>
      </w:r>
      <w:r w:rsidR="00FF3FA7" w:rsidRPr="00FF3FA7">
        <w:rPr>
          <w:rFonts w:ascii="Arial" w:hAnsi="Arial" w:cs="Arial"/>
          <w:color w:val="000000" w:themeColor="text1"/>
        </w:rPr>
        <w:t xml:space="preserve">, e.g., </w:t>
      </w:r>
      <w:r w:rsidR="008232CF" w:rsidRPr="00FF3FA7">
        <w:rPr>
          <w:rFonts w:ascii="Arial" w:hAnsi="Arial" w:cs="Arial"/>
          <w:color w:val="000000" w:themeColor="text1"/>
        </w:rPr>
        <w:t xml:space="preserve">the International Covenant on Economic, Social and Cultural Rights, </w:t>
      </w:r>
      <w:r w:rsidR="00FF3FA7" w:rsidRPr="00FF3FA7">
        <w:rPr>
          <w:rFonts w:ascii="Arial" w:hAnsi="Arial" w:cs="Arial"/>
          <w:color w:val="000000" w:themeColor="text1"/>
        </w:rPr>
        <w:t>art.</w:t>
      </w:r>
      <w:r w:rsidR="008232CF" w:rsidRPr="00FF3FA7">
        <w:rPr>
          <w:rFonts w:ascii="Arial" w:hAnsi="Arial" w:cs="Arial"/>
          <w:color w:val="000000" w:themeColor="text1"/>
        </w:rPr>
        <w:t xml:space="preserve"> 11 (right to an adequate standard of living) and </w:t>
      </w:r>
      <w:r w:rsidR="00FF3FA7" w:rsidRPr="00FF3FA7">
        <w:rPr>
          <w:rFonts w:ascii="Arial" w:hAnsi="Arial" w:cs="Arial"/>
          <w:color w:val="000000" w:themeColor="text1"/>
        </w:rPr>
        <w:t>art.</w:t>
      </w:r>
      <w:r w:rsidR="008232CF" w:rsidRPr="00FF3FA7">
        <w:rPr>
          <w:rFonts w:ascii="Arial" w:hAnsi="Arial" w:cs="Arial"/>
          <w:color w:val="000000" w:themeColor="text1"/>
        </w:rPr>
        <w:t xml:space="preserve"> 12 (right to health); African Charter on Human and Peoples’ Rights, </w:t>
      </w:r>
      <w:r w:rsidR="00FF3FA7" w:rsidRPr="00FF3FA7">
        <w:rPr>
          <w:rFonts w:ascii="Arial" w:hAnsi="Arial" w:cs="Arial"/>
          <w:color w:val="000000" w:themeColor="text1"/>
        </w:rPr>
        <w:t>art.</w:t>
      </w:r>
      <w:r w:rsidR="008232CF" w:rsidRPr="00FF3FA7">
        <w:rPr>
          <w:rFonts w:ascii="Arial" w:hAnsi="Arial" w:cs="Arial"/>
          <w:color w:val="000000" w:themeColor="text1"/>
        </w:rPr>
        <w:t xml:space="preserve"> 16 (right to health) and </w:t>
      </w:r>
      <w:r w:rsidR="00FF3FA7" w:rsidRPr="00FF3FA7">
        <w:rPr>
          <w:rFonts w:ascii="Arial" w:hAnsi="Arial" w:cs="Arial"/>
          <w:color w:val="000000" w:themeColor="text1"/>
        </w:rPr>
        <w:t>art.</w:t>
      </w:r>
      <w:r w:rsidR="008232CF" w:rsidRPr="00FF3FA7">
        <w:rPr>
          <w:rFonts w:ascii="Arial" w:hAnsi="Arial" w:cs="Arial"/>
          <w:color w:val="000000" w:themeColor="text1"/>
        </w:rPr>
        <w:t xml:space="preserve"> 17 (right to education); </w:t>
      </w:r>
      <w:r w:rsidR="00FF3FA7" w:rsidRPr="00FF3FA7">
        <w:rPr>
          <w:rFonts w:ascii="Arial" w:hAnsi="Arial" w:cs="Arial"/>
          <w:color w:val="000000" w:themeColor="text1"/>
        </w:rPr>
        <w:t xml:space="preserve">and </w:t>
      </w:r>
      <w:r w:rsidR="00A46B01" w:rsidRPr="00FF3FA7">
        <w:rPr>
          <w:rFonts w:ascii="Arial" w:hAnsi="Arial" w:cs="Arial"/>
          <w:color w:val="000000" w:themeColor="text1"/>
        </w:rPr>
        <w:t xml:space="preserve">European Social Charter, </w:t>
      </w:r>
      <w:r w:rsidR="00FF3FA7" w:rsidRPr="00FF3FA7">
        <w:rPr>
          <w:rFonts w:ascii="Arial" w:hAnsi="Arial" w:cs="Arial"/>
          <w:color w:val="000000" w:themeColor="text1"/>
        </w:rPr>
        <w:t>art.</w:t>
      </w:r>
      <w:r w:rsidR="00A46B01" w:rsidRPr="00FF3FA7">
        <w:rPr>
          <w:rFonts w:ascii="Arial" w:hAnsi="Arial" w:cs="Arial"/>
          <w:color w:val="000000" w:themeColor="text1"/>
        </w:rPr>
        <w:t xml:space="preserve"> 11 (right to health) and </w:t>
      </w:r>
      <w:r w:rsidR="00FF3FA7" w:rsidRPr="00FF3FA7">
        <w:rPr>
          <w:rFonts w:ascii="Arial" w:hAnsi="Arial" w:cs="Arial"/>
          <w:color w:val="000000" w:themeColor="text1"/>
        </w:rPr>
        <w:t>art.</w:t>
      </w:r>
      <w:r w:rsidR="00A46B01" w:rsidRPr="00FF3FA7">
        <w:rPr>
          <w:rFonts w:ascii="Arial" w:hAnsi="Arial" w:cs="Arial"/>
          <w:color w:val="000000" w:themeColor="text1"/>
        </w:rPr>
        <w:t xml:space="preserve"> 31 (right to housing)</w:t>
      </w:r>
      <w:r w:rsidR="00FF3FA7" w:rsidRPr="00FF3FA7">
        <w:rPr>
          <w:rFonts w:ascii="Arial" w:hAnsi="Arial" w:cs="Arial"/>
          <w:color w:val="000000" w:themeColor="text1"/>
        </w:rPr>
        <w:t>. S</w:t>
      </w:r>
      <w:r w:rsidR="00A46B01" w:rsidRPr="00FF3FA7">
        <w:rPr>
          <w:rFonts w:ascii="Arial" w:hAnsi="Arial" w:cs="Arial"/>
          <w:color w:val="000000" w:themeColor="text1"/>
        </w:rPr>
        <w:t xml:space="preserve">ee also the Constitution of the Republic of South Africa, </w:t>
      </w:r>
      <w:r w:rsidR="00FF3FA7" w:rsidRPr="00FF3FA7">
        <w:rPr>
          <w:rFonts w:ascii="Arial" w:hAnsi="Arial" w:cs="Arial"/>
          <w:color w:val="000000" w:themeColor="text1"/>
        </w:rPr>
        <w:t>art.</w:t>
      </w:r>
      <w:r w:rsidR="00A46B01" w:rsidRPr="00FF3FA7">
        <w:rPr>
          <w:rFonts w:ascii="Arial" w:hAnsi="Arial" w:cs="Arial"/>
          <w:color w:val="000000" w:themeColor="text1"/>
        </w:rPr>
        <w:t xml:space="preserve"> 26 (right to housing), </w:t>
      </w:r>
      <w:r w:rsidR="00FF3FA7" w:rsidRPr="00FF3FA7">
        <w:rPr>
          <w:rFonts w:ascii="Arial" w:hAnsi="Arial" w:cs="Arial"/>
          <w:color w:val="000000" w:themeColor="text1"/>
        </w:rPr>
        <w:t>art.</w:t>
      </w:r>
      <w:r w:rsidR="00A46B01" w:rsidRPr="00FF3FA7">
        <w:rPr>
          <w:rFonts w:ascii="Arial" w:hAnsi="Arial" w:cs="Arial"/>
          <w:color w:val="000000" w:themeColor="text1"/>
        </w:rPr>
        <w:t xml:space="preserve"> 27 (right to health care, food, water and social security), and </w:t>
      </w:r>
      <w:r w:rsidR="00FF3FA7" w:rsidRPr="00FF3FA7">
        <w:rPr>
          <w:rFonts w:ascii="Arial" w:hAnsi="Arial" w:cs="Arial"/>
          <w:color w:val="000000" w:themeColor="text1"/>
        </w:rPr>
        <w:t>art.</w:t>
      </w:r>
      <w:r w:rsidR="00A46B01" w:rsidRPr="00FF3FA7">
        <w:rPr>
          <w:rFonts w:ascii="Arial" w:hAnsi="Arial" w:cs="Arial"/>
          <w:color w:val="000000" w:themeColor="text1"/>
        </w:rPr>
        <w:t xml:space="preserve"> 29 (right to education)</w:t>
      </w:r>
      <w:r w:rsidR="00FF3FA7" w:rsidRPr="00FF3FA7">
        <w:rPr>
          <w:rFonts w:ascii="Arial" w:hAnsi="Arial" w:cs="Arial"/>
          <w:color w:val="000000" w:themeColor="text1"/>
        </w:rPr>
        <w:t>.</w:t>
      </w:r>
    </w:p>
  </w:footnote>
  <w:footnote w:id="21">
    <w:p w14:paraId="48CBB34B" w14:textId="1E1F05B0" w:rsidR="001973BF" w:rsidRPr="00FF3FA7" w:rsidRDefault="001973BF">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FF3FA7" w:rsidRPr="00FF3FA7">
        <w:rPr>
          <w:rFonts w:ascii="Arial" w:hAnsi="Arial" w:cs="Arial"/>
          <w:color w:val="000000" w:themeColor="text1"/>
        </w:rPr>
        <w:t>See, e.g.,</w:t>
      </w:r>
      <w:r w:rsidR="007B03BA" w:rsidRPr="00FF3FA7">
        <w:rPr>
          <w:rFonts w:ascii="Arial" w:hAnsi="Arial" w:cs="Arial"/>
          <w:color w:val="000000" w:themeColor="text1"/>
        </w:rPr>
        <w:t xml:space="preserve"> the International Covenant on Economic, Social and Cultural Rights, </w:t>
      </w:r>
      <w:r w:rsidR="00FF3FA7" w:rsidRPr="00FF3FA7">
        <w:rPr>
          <w:rFonts w:ascii="Arial" w:hAnsi="Arial" w:cs="Arial"/>
          <w:color w:val="000000" w:themeColor="text1"/>
        </w:rPr>
        <w:t>art.</w:t>
      </w:r>
      <w:r w:rsidR="007B03BA" w:rsidRPr="00FF3FA7">
        <w:rPr>
          <w:rFonts w:ascii="Arial" w:hAnsi="Arial" w:cs="Arial"/>
          <w:color w:val="000000" w:themeColor="text1"/>
        </w:rPr>
        <w:t xml:space="preserve"> 2</w:t>
      </w:r>
      <w:r w:rsidR="00FF3FA7" w:rsidRPr="00FF3FA7">
        <w:rPr>
          <w:rFonts w:ascii="Arial" w:hAnsi="Arial" w:cs="Arial"/>
          <w:color w:val="000000" w:themeColor="text1"/>
        </w:rPr>
        <w:t>.</w:t>
      </w:r>
    </w:p>
  </w:footnote>
  <w:footnote w:id="22">
    <w:p w14:paraId="2DE6A41B" w14:textId="66B5D090" w:rsidR="006C4F70" w:rsidRPr="00FF3FA7" w:rsidRDefault="006C4F70" w:rsidP="00FF3FA7">
      <w:pPr>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w:t>
      </w:r>
      <w:r w:rsidR="00D7209A" w:rsidRPr="00FF3FA7">
        <w:rPr>
          <w:rFonts w:ascii="Arial" w:hAnsi="Arial" w:cs="Arial"/>
          <w:color w:val="000000" w:themeColor="text1"/>
          <w:sz w:val="20"/>
          <w:szCs w:val="20"/>
        </w:rPr>
        <w:t>P. Butler, ‘UN panel criticises UK failure to uphold disabled people’s rights’</w:t>
      </w:r>
      <w:r w:rsidR="00FF3FA7" w:rsidRPr="00FF3FA7">
        <w:rPr>
          <w:rFonts w:ascii="Arial" w:hAnsi="Arial" w:cs="Arial"/>
          <w:color w:val="000000" w:themeColor="text1"/>
          <w:sz w:val="20"/>
          <w:szCs w:val="20"/>
        </w:rPr>
        <w:t>,</w:t>
      </w:r>
      <w:r w:rsidR="00D7209A" w:rsidRPr="00FF3FA7">
        <w:rPr>
          <w:rFonts w:ascii="Arial" w:hAnsi="Arial" w:cs="Arial"/>
          <w:color w:val="000000" w:themeColor="text1"/>
          <w:sz w:val="20"/>
          <w:szCs w:val="20"/>
        </w:rPr>
        <w:t xml:space="preserve"> </w:t>
      </w:r>
      <w:r w:rsidR="00D7209A" w:rsidRPr="00FF3FA7">
        <w:rPr>
          <w:rFonts w:ascii="Arial" w:hAnsi="Arial" w:cs="Arial"/>
          <w:i/>
          <w:iCs/>
          <w:color w:val="000000" w:themeColor="text1"/>
          <w:sz w:val="20"/>
          <w:szCs w:val="20"/>
        </w:rPr>
        <w:t xml:space="preserve">The Guardian </w:t>
      </w:r>
      <w:r w:rsidR="00D7209A" w:rsidRPr="00FF3FA7">
        <w:rPr>
          <w:rFonts w:ascii="Arial" w:hAnsi="Arial" w:cs="Arial"/>
          <w:color w:val="000000" w:themeColor="text1"/>
          <w:sz w:val="20"/>
          <w:szCs w:val="20"/>
        </w:rPr>
        <w:t xml:space="preserve">(31 August 2017) </w:t>
      </w:r>
      <w:r w:rsidR="00FF3FA7" w:rsidRPr="00FF3FA7">
        <w:rPr>
          <w:rFonts w:ascii="Arial" w:hAnsi="Arial" w:cs="Arial"/>
          <w:color w:val="000000" w:themeColor="text1"/>
          <w:sz w:val="20"/>
          <w:szCs w:val="20"/>
        </w:rPr>
        <w:t>&lt;</w:t>
      </w:r>
      <w:hyperlink r:id="rId10" w:history="1">
        <w:r w:rsidR="00FF3FA7" w:rsidRPr="00FF3FA7">
          <w:rPr>
            <w:rStyle w:val="Hyperlink"/>
            <w:rFonts w:ascii="Arial" w:hAnsi="Arial" w:cs="Arial"/>
            <w:color w:val="000000" w:themeColor="text1"/>
            <w:sz w:val="20"/>
            <w:szCs w:val="20"/>
          </w:rPr>
          <w:t>https://www.theguardian.com/society/2017/aug/31/un-panel-criticises-uk-failure-to-uphold-disabled-peoples-rights</w:t>
        </w:r>
      </w:hyperlink>
      <w:r w:rsidR="00FF3FA7" w:rsidRPr="00FF3FA7">
        <w:rPr>
          <w:rFonts w:ascii="Arial" w:hAnsi="Arial" w:cs="Arial"/>
          <w:color w:val="000000" w:themeColor="text1"/>
          <w:sz w:val="20"/>
          <w:szCs w:val="20"/>
        </w:rPr>
        <w:t>&gt; accessed 7 September 2019.</w:t>
      </w:r>
    </w:p>
  </w:footnote>
  <w:footnote w:id="23">
    <w:p w14:paraId="40D0B6A8" w14:textId="7057787A" w:rsidR="001973BF" w:rsidRPr="00FF3FA7" w:rsidRDefault="001973BF">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D7209A" w:rsidRPr="00FF3FA7">
        <w:rPr>
          <w:rFonts w:ascii="Arial" w:hAnsi="Arial" w:cs="Arial"/>
          <w:color w:val="000000" w:themeColor="text1"/>
        </w:rPr>
        <w:t>H. Rich, ‘The full extent of the homelessness crisis’</w:t>
      </w:r>
      <w:r w:rsidR="00FF3FA7" w:rsidRPr="00FF3FA7">
        <w:rPr>
          <w:rFonts w:ascii="Arial" w:hAnsi="Arial" w:cs="Arial"/>
          <w:color w:val="000000" w:themeColor="text1"/>
        </w:rPr>
        <w:t>,</w:t>
      </w:r>
      <w:r w:rsidR="00D7209A" w:rsidRPr="00FF3FA7">
        <w:rPr>
          <w:rFonts w:ascii="Arial" w:hAnsi="Arial" w:cs="Arial"/>
          <w:color w:val="000000" w:themeColor="text1"/>
        </w:rPr>
        <w:t xml:space="preserve"> </w:t>
      </w:r>
      <w:r w:rsidR="00D7209A" w:rsidRPr="00FF3FA7">
        <w:rPr>
          <w:rFonts w:ascii="Arial" w:hAnsi="Arial" w:cs="Arial"/>
          <w:i/>
          <w:iCs/>
          <w:color w:val="000000" w:themeColor="text1"/>
        </w:rPr>
        <w:t>Shelter</w:t>
      </w:r>
      <w:r w:rsidR="00FF3FA7" w:rsidRPr="00FF3FA7">
        <w:rPr>
          <w:rFonts w:ascii="Arial" w:hAnsi="Arial" w:cs="Arial"/>
          <w:color w:val="000000" w:themeColor="text1"/>
        </w:rPr>
        <w:t xml:space="preserve"> (</w:t>
      </w:r>
      <w:r w:rsidR="00D7209A" w:rsidRPr="00FF3FA7">
        <w:rPr>
          <w:rFonts w:ascii="Arial" w:hAnsi="Arial" w:cs="Arial"/>
          <w:color w:val="000000" w:themeColor="text1"/>
        </w:rPr>
        <w:t>4 July 2018)</w:t>
      </w:r>
      <w:r w:rsidR="00FF3FA7" w:rsidRPr="00FF3FA7">
        <w:rPr>
          <w:rFonts w:ascii="Arial" w:hAnsi="Arial" w:cs="Arial"/>
          <w:color w:val="000000" w:themeColor="text1"/>
        </w:rPr>
        <w:t xml:space="preserve"> &lt;</w:t>
      </w:r>
      <w:hyperlink r:id="rId11" w:history="1">
        <w:r w:rsidR="00FF3FA7" w:rsidRPr="00FF3FA7">
          <w:rPr>
            <w:rStyle w:val="Hyperlink"/>
            <w:rFonts w:ascii="Arial" w:hAnsi="Arial" w:cs="Arial"/>
            <w:color w:val="000000" w:themeColor="text1"/>
          </w:rPr>
          <w:t>https://blog.shelter.org.uk/2018/07/the-full-extent-of-the-homelessness-crisis/</w:t>
        </w:r>
      </w:hyperlink>
      <w:r w:rsidR="00FF3FA7" w:rsidRPr="00FF3FA7">
        <w:rPr>
          <w:rFonts w:ascii="Arial" w:hAnsi="Arial" w:cs="Arial"/>
          <w:color w:val="000000" w:themeColor="text1"/>
        </w:rPr>
        <w:t xml:space="preserve">&gt; </w:t>
      </w:r>
      <w:r w:rsidR="00D7209A" w:rsidRPr="00FF3FA7">
        <w:rPr>
          <w:rFonts w:ascii="Arial" w:hAnsi="Arial" w:cs="Arial"/>
          <w:color w:val="000000" w:themeColor="text1"/>
        </w:rPr>
        <w:t>accessed 8 September 2019</w:t>
      </w:r>
      <w:r w:rsidR="00FF3FA7" w:rsidRPr="00FF3FA7">
        <w:rPr>
          <w:rFonts w:ascii="Arial" w:hAnsi="Arial" w:cs="Arial"/>
          <w:color w:val="000000" w:themeColor="text1"/>
        </w:rPr>
        <w:t>.</w:t>
      </w:r>
    </w:p>
  </w:footnote>
  <w:footnote w:id="24">
    <w:p w14:paraId="433E7A51" w14:textId="1D44337A"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Housing Act 1996</w:t>
      </w:r>
      <w:r w:rsidR="00D7209A" w:rsidRPr="00FF3FA7">
        <w:rPr>
          <w:rFonts w:ascii="Arial" w:hAnsi="Arial" w:cs="Arial"/>
          <w:color w:val="000000" w:themeColor="text1"/>
        </w:rPr>
        <w:t>, s.</w:t>
      </w:r>
      <w:r w:rsidR="00FF3FA7" w:rsidRPr="00FF3FA7">
        <w:rPr>
          <w:rFonts w:ascii="Arial" w:hAnsi="Arial" w:cs="Arial"/>
          <w:color w:val="000000" w:themeColor="text1"/>
        </w:rPr>
        <w:t xml:space="preserve"> </w:t>
      </w:r>
      <w:r w:rsidR="00D7209A" w:rsidRPr="00FF3FA7">
        <w:rPr>
          <w:rFonts w:ascii="Arial" w:hAnsi="Arial" w:cs="Arial"/>
          <w:color w:val="000000" w:themeColor="text1"/>
        </w:rPr>
        <w:t>189</w:t>
      </w:r>
      <w:r w:rsidR="00FF3FA7" w:rsidRPr="00FF3FA7">
        <w:rPr>
          <w:rFonts w:ascii="Arial" w:hAnsi="Arial" w:cs="Arial"/>
          <w:color w:val="000000" w:themeColor="text1"/>
        </w:rPr>
        <w:t>. S</w:t>
      </w:r>
      <w:r w:rsidR="00D7209A" w:rsidRPr="00FF3FA7">
        <w:rPr>
          <w:rFonts w:ascii="Arial" w:hAnsi="Arial" w:cs="Arial"/>
          <w:color w:val="000000" w:themeColor="text1"/>
        </w:rPr>
        <w:t xml:space="preserve">ee also the definition of ‘vulnerability’ in </w:t>
      </w:r>
      <w:r w:rsidR="00D7209A" w:rsidRPr="00FF3FA7">
        <w:rPr>
          <w:rFonts w:ascii="Arial" w:hAnsi="Arial" w:cs="Arial"/>
          <w:i/>
          <w:iCs/>
          <w:color w:val="000000" w:themeColor="text1"/>
        </w:rPr>
        <w:t xml:space="preserve">Hotak v Southwark LBC </w:t>
      </w:r>
      <w:r w:rsidR="00D7209A" w:rsidRPr="00FF3FA7">
        <w:rPr>
          <w:rFonts w:ascii="Arial" w:hAnsi="Arial" w:cs="Arial"/>
          <w:color w:val="000000" w:themeColor="text1"/>
        </w:rPr>
        <w:t>[2015] UKSC 30 at [53] (Lord Neuberger)</w:t>
      </w:r>
      <w:r w:rsidR="00FF3FA7" w:rsidRPr="00FF3FA7">
        <w:rPr>
          <w:rFonts w:ascii="Arial" w:hAnsi="Arial" w:cs="Arial"/>
          <w:color w:val="000000" w:themeColor="text1"/>
        </w:rPr>
        <w:t>.</w:t>
      </w:r>
    </w:p>
  </w:footnote>
  <w:footnote w:id="25">
    <w:p w14:paraId="1437CBD0" w14:textId="226F20D8" w:rsidR="00CC0372" w:rsidRPr="00FF3FA7" w:rsidRDefault="00CC0372" w:rsidP="00FF3FA7">
      <w:pPr>
        <w:spacing w:after="0"/>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w:t>
      </w:r>
      <w:r w:rsidR="00B371CD" w:rsidRPr="00FF3FA7">
        <w:rPr>
          <w:rFonts w:ascii="Arial" w:hAnsi="Arial" w:cs="Arial"/>
          <w:color w:val="000000" w:themeColor="text1"/>
          <w:sz w:val="20"/>
          <w:szCs w:val="20"/>
        </w:rPr>
        <w:t>K. Proctor, ‘Still no homes for 151 Grenfell fire families stuck in emergency or temporary housing 16 months on’</w:t>
      </w:r>
      <w:r w:rsidR="00FF3FA7" w:rsidRPr="00FF3FA7">
        <w:rPr>
          <w:rFonts w:ascii="Arial" w:hAnsi="Arial" w:cs="Arial"/>
          <w:color w:val="000000" w:themeColor="text1"/>
          <w:sz w:val="20"/>
          <w:szCs w:val="20"/>
        </w:rPr>
        <w:t>,</w:t>
      </w:r>
      <w:r w:rsidR="00B371CD" w:rsidRPr="00FF3FA7">
        <w:rPr>
          <w:rFonts w:ascii="Arial" w:hAnsi="Arial" w:cs="Arial"/>
          <w:color w:val="000000" w:themeColor="text1"/>
          <w:sz w:val="20"/>
          <w:szCs w:val="20"/>
        </w:rPr>
        <w:t xml:space="preserve"> </w:t>
      </w:r>
      <w:r w:rsidR="00B371CD" w:rsidRPr="00FF3FA7">
        <w:rPr>
          <w:rFonts w:ascii="Arial" w:hAnsi="Arial" w:cs="Arial"/>
          <w:i/>
          <w:iCs/>
          <w:color w:val="000000" w:themeColor="text1"/>
          <w:sz w:val="20"/>
          <w:szCs w:val="20"/>
        </w:rPr>
        <w:t>The Evening Standard</w:t>
      </w:r>
      <w:r w:rsidR="00B371CD" w:rsidRPr="00FF3FA7">
        <w:rPr>
          <w:rFonts w:ascii="Arial" w:hAnsi="Arial" w:cs="Arial"/>
          <w:color w:val="000000" w:themeColor="text1"/>
          <w:sz w:val="20"/>
          <w:szCs w:val="20"/>
        </w:rPr>
        <w:t xml:space="preserve"> (29 October 2018)</w:t>
      </w:r>
      <w:r w:rsidR="00FF3FA7" w:rsidRPr="00FF3FA7">
        <w:rPr>
          <w:rFonts w:ascii="Arial" w:hAnsi="Arial" w:cs="Arial"/>
          <w:color w:val="000000" w:themeColor="text1"/>
          <w:sz w:val="20"/>
          <w:szCs w:val="20"/>
        </w:rPr>
        <w:t xml:space="preserve"> &lt;</w:t>
      </w:r>
      <w:hyperlink r:id="rId12" w:history="1">
        <w:r w:rsidR="00FF3FA7" w:rsidRPr="00FF3FA7">
          <w:rPr>
            <w:rStyle w:val="Hyperlink"/>
            <w:rFonts w:ascii="Arial" w:hAnsi="Arial" w:cs="Arial"/>
            <w:color w:val="000000" w:themeColor="text1"/>
            <w:sz w:val="20"/>
            <w:szCs w:val="20"/>
          </w:rPr>
          <w:t>https://www.standard.co.uk/news/london/still-no-homes-for-151-grenfell-fire-families-stuck-in-emergency-or-temporary-housing-16-months-on-a3974526.html</w:t>
        </w:r>
      </w:hyperlink>
      <w:r w:rsidR="00FF3FA7" w:rsidRPr="00FF3FA7">
        <w:rPr>
          <w:rFonts w:ascii="Arial" w:hAnsi="Arial" w:cs="Arial"/>
          <w:color w:val="000000" w:themeColor="text1"/>
          <w:sz w:val="20"/>
          <w:szCs w:val="20"/>
        </w:rPr>
        <w:t>&gt; accessed 8 September 2019.</w:t>
      </w:r>
    </w:p>
  </w:footnote>
  <w:footnote w:id="26">
    <w:p w14:paraId="0BF337A1" w14:textId="2243923D" w:rsidR="00061824" w:rsidRPr="00FF3FA7" w:rsidRDefault="00061824">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J</w:t>
      </w:r>
      <w:r w:rsidR="007A0E43" w:rsidRPr="00FF3FA7">
        <w:rPr>
          <w:rFonts w:ascii="Arial" w:hAnsi="Arial" w:cs="Arial"/>
          <w:color w:val="000000" w:themeColor="text1"/>
        </w:rPr>
        <w:t xml:space="preserve">. Rawls, </w:t>
      </w:r>
      <w:r w:rsidR="007A0E43" w:rsidRPr="00FF3FA7">
        <w:rPr>
          <w:rFonts w:ascii="Arial" w:hAnsi="Arial" w:cs="Arial"/>
          <w:i/>
          <w:iCs/>
          <w:color w:val="000000" w:themeColor="text1"/>
        </w:rPr>
        <w:t>Justice as Fairness: A Restatement</w:t>
      </w:r>
      <w:r w:rsidR="007A0E43" w:rsidRPr="00FF3FA7">
        <w:rPr>
          <w:rFonts w:ascii="Arial" w:hAnsi="Arial" w:cs="Arial"/>
          <w:color w:val="000000" w:themeColor="text1"/>
        </w:rPr>
        <w:t xml:space="preserve"> (2</w:t>
      </w:r>
      <w:r w:rsidR="007A0E43" w:rsidRPr="00FF3FA7">
        <w:rPr>
          <w:rFonts w:ascii="Arial" w:hAnsi="Arial" w:cs="Arial"/>
          <w:color w:val="000000" w:themeColor="text1"/>
          <w:vertAlign w:val="superscript"/>
        </w:rPr>
        <w:t>nd</w:t>
      </w:r>
      <w:r w:rsidR="007A0E43" w:rsidRPr="00FF3FA7">
        <w:rPr>
          <w:rFonts w:ascii="Arial" w:hAnsi="Arial" w:cs="Arial"/>
          <w:color w:val="000000" w:themeColor="text1"/>
        </w:rPr>
        <w:t xml:space="preserve"> edn, Harvard University Press 2001)</w:t>
      </w:r>
      <w:r w:rsidR="00FF3FA7" w:rsidRPr="00FF3FA7">
        <w:rPr>
          <w:rFonts w:ascii="Arial" w:hAnsi="Arial" w:cs="Arial"/>
          <w:color w:val="000000" w:themeColor="text1"/>
        </w:rPr>
        <w:t>.</w:t>
      </w:r>
    </w:p>
  </w:footnote>
  <w:footnote w:id="27">
    <w:p w14:paraId="3DB94C59" w14:textId="1C4BC85A"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E631F3" w:rsidRPr="00FF3FA7">
        <w:rPr>
          <w:rFonts w:ascii="Arial" w:hAnsi="Arial" w:cs="Arial"/>
          <w:color w:val="000000" w:themeColor="text1"/>
        </w:rPr>
        <w:t>Adi Granth 141</w:t>
      </w:r>
      <w:r w:rsidR="00FF3FA7" w:rsidRPr="00FF3FA7">
        <w:rPr>
          <w:rFonts w:ascii="Arial" w:hAnsi="Arial" w:cs="Arial"/>
          <w:color w:val="000000" w:themeColor="text1"/>
        </w:rPr>
        <w:t>.</w:t>
      </w:r>
    </w:p>
  </w:footnote>
  <w:footnote w:id="28">
    <w:p w14:paraId="265EF2BD" w14:textId="2F5FFB6C"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9D7D6D" w:rsidRPr="00FF3FA7">
        <w:rPr>
          <w:rFonts w:ascii="Arial" w:hAnsi="Arial" w:cs="Arial"/>
          <w:color w:val="000000" w:themeColor="text1"/>
        </w:rPr>
        <w:t>For quotation, see Red Zambala, ‘Virtues in Sikhi’</w:t>
      </w:r>
      <w:r w:rsidR="00FF3FA7" w:rsidRPr="00FF3FA7">
        <w:rPr>
          <w:rFonts w:ascii="Arial" w:hAnsi="Arial" w:cs="Arial"/>
          <w:color w:val="000000" w:themeColor="text1"/>
        </w:rPr>
        <w:t xml:space="preserve">, </w:t>
      </w:r>
      <w:r w:rsidR="009D7D6D" w:rsidRPr="00FF3FA7">
        <w:rPr>
          <w:rFonts w:ascii="Arial" w:hAnsi="Arial" w:cs="Arial"/>
          <w:i/>
          <w:iCs/>
          <w:color w:val="000000" w:themeColor="text1"/>
        </w:rPr>
        <w:t>Red Zambala</w:t>
      </w:r>
      <w:r w:rsidR="00FF3FA7" w:rsidRPr="00FF3FA7">
        <w:rPr>
          <w:rFonts w:ascii="Arial" w:hAnsi="Arial" w:cs="Arial"/>
          <w:color w:val="000000" w:themeColor="text1"/>
        </w:rPr>
        <w:t xml:space="preserve"> (</w:t>
      </w:r>
      <w:r w:rsidR="009D7D6D" w:rsidRPr="00FF3FA7">
        <w:rPr>
          <w:rFonts w:ascii="Arial" w:hAnsi="Arial" w:cs="Arial"/>
          <w:color w:val="000000" w:themeColor="text1"/>
        </w:rPr>
        <w:t>2013)</w:t>
      </w:r>
      <w:r w:rsidR="00FF3FA7" w:rsidRPr="00FF3FA7">
        <w:rPr>
          <w:rFonts w:ascii="Arial" w:hAnsi="Arial" w:cs="Arial"/>
          <w:color w:val="000000" w:themeColor="text1"/>
        </w:rPr>
        <w:t xml:space="preserve"> &lt;</w:t>
      </w:r>
      <w:r w:rsidR="009D7D6D" w:rsidRPr="00FF3FA7">
        <w:rPr>
          <w:rFonts w:ascii="Arial" w:hAnsi="Arial" w:cs="Arial"/>
          <w:color w:val="000000" w:themeColor="text1"/>
        </w:rPr>
        <w:t>http://sikhi.redzambala.com/sikh-teachings/virtues-in-sikhi-3-justice.html</w:t>
      </w:r>
      <w:r w:rsidR="00FF3FA7" w:rsidRPr="00FF3FA7">
        <w:rPr>
          <w:rFonts w:ascii="Arial" w:hAnsi="Arial" w:cs="Arial"/>
          <w:color w:val="000000" w:themeColor="text1"/>
        </w:rPr>
        <w:t>&gt;</w:t>
      </w:r>
      <w:r w:rsidR="009D7D6D" w:rsidRPr="00FF3FA7">
        <w:rPr>
          <w:rFonts w:ascii="Arial" w:hAnsi="Arial" w:cs="Arial"/>
          <w:color w:val="000000" w:themeColor="text1"/>
        </w:rPr>
        <w:t xml:space="preserve"> accessed 8 September 2019</w:t>
      </w:r>
      <w:r w:rsidR="00FF3FA7" w:rsidRPr="00FF3FA7">
        <w:rPr>
          <w:rFonts w:ascii="Arial" w:hAnsi="Arial" w:cs="Arial"/>
          <w:color w:val="000000" w:themeColor="text1"/>
        </w:rPr>
        <w:t>.</w:t>
      </w:r>
    </w:p>
  </w:footnote>
  <w:footnote w:id="29">
    <w:p w14:paraId="1C6A3132" w14:textId="7618D7A7" w:rsidR="006C4F70" w:rsidRPr="00FF3FA7" w:rsidRDefault="006C4F70" w:rsidP="00FF3FA7">
      <w:pPr>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Lord Sumption, </w:t>
      </w:r>
      <w:r w:rsidR="007C3276" w:rsidRPr="00FF3FA7">
        <w:rPr>
          <w:rFonts w:ascii="Arial" w:hAnsi="Arial" w:cs="Arial"/>
          <w:color w:val="000000" w:themeColor="text1"/>
          <w:sz w:val="20"/>
          <w:szCs w:val="20"/>
        </w:rPr>
        <w:t>‘</w:t>
      </w:r>
      <w:r w:rsidRPr="00FF3FA7">
        <w:rPr>
          <w:rFonts w:ascii="Arial" w:hAnsi="Arial" w:cs="Arial"/>
          <w:color w:val="000000" w:themeColor="text1"/>
          <w:sz w:val="20"/>
          <w:szCs w:val="20"/>
        </w:rPr>
        <w:t>Keynote Speech: Annual Bar and Young Bar Conference 2018</w:t>
      </w:r>
      <w:r w:rsidR="007C3276" w:rsidRPr="00FF3FA7">
        <w:rPr>
          <w:rFonts w:ascii="Arial" w:hAnsi="Arial" w:cs="Arial"/>
          <w:color w:val="000000" w:themeColor="text1"/>
          <w:sz w:val="20"/>
          <w:szCs w:val="20"/>
        </w:rPr>
        <w:t>’</w:t>
      </w:r>
      <w:r w:rsidRPr="00FF3FA7">
        <w:rPr>
          <w:rFonts w:ascii="Arial" w:hAnsi="Arial" w:cs="Arial"/>
          <w:color w:val="000000" w:themeColor="text1"/>
          <w:sz w:val="20"/>
          <w:szCs w:val="20"/>
        </w:rPr>
        <w:t xml:space="preserve"> (24 November 2018)</w:t>
      </w:r>
      <w:r w:rsidR="00FF3FA7" w:rsidRPr="00FF3FA7">
        <w:rPr>
          <w:rFonts w:ascii="Arial" w:hAnsi="Arial" w:cs="Arial"/>
          <w:color w:val="000000" w:themeColor="text1"/>
          <w:sz w:val="20"/>
          <w:szCs w:val="20"/>
        </w:rPr>
        <w:t xml:space="preserve"> &lt;</w:t>
      </w:r>
      <w:hyperlink r:id="rId13" w:history="1">
        <w:r w:rsidR="00FF3FA7" w:rsidRPr="00FF3FA7">
          <w:rPr>
            <w:rStyle w:val="Hyperlink"/>
            <w:rFonts w:ascii="Arial" w:hAnsi="Arial" w:cs="Arial"/>
            <w:color w:val="000000" w:themeColor="text1"/>
            <w:sz w:val="20"/>
            <w:szCs w:val="20"/>
          </w:rPr>
          <w:t>https://www.supremecourt.uk/docs/speech-181124.pdf</w:t>
        </w:r>
      </w:hyperlink>
      <w:r w:rsidR="00FF3FA7" w:rsidRPr="00FF3FA7">
        <w:rPr>
          <w:rFonts w:ascii="Arial" w:hAnsi="Arial" w:cs="Arial"/>
          <w:color w:val="000000" w:themeColor="text1"/>
          <w:sz w:val="20"/>
          <w:szCs w:val="20"/>
        </w:rPr>
        <w:t>&gt; accessed 8 September 2019.</w:t>
      </w:r>
    </w:p>
  </w:footnote>
  <w:footnote w:id="30">
    <w:p w14:paraId="65A9D5D5" w14:textId="2707C5F4"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D</w:t>
      </w:r>
      <w:r w:rsidR="007C3276" w:rsidRPr="00FF3FA7">
        <w:rPr>
          <w:rFonts w:ascii="Arial" w:hAnsi="Arial" w:cs="Arial"/>
          <w:color w:val="000000" w:themeColor="text1"/>
        </w:rPr>
        <w:t xml:space="preserve">asam </w:t>
      </w:r>
      <w:r w:rsidRPr="00FF3FA7">
        <w:rPr>
          <w:rFonts w:ascii="Arial" w:hAnsi="Arial" w:cs="Arial"/>
          <w:color w:val="000000" w:themeColor="text1"/>
        </w:rPr>
        <w:t>G</w:t>
      </w:r>
      <w:r w:rsidR="007C3276" w:rsidRPr="00FF3FA7">
        <w:rPr>
          <w:rFonts w:ascii="Arial" w:hAnsi="Arial" w:cs="Arial"/>
          <w:color w:val="000000" w:themeColor="text1"/>
        </w:rPr>
        <w:t>ranth</w:t>
      </w:r>
      <w:r w:rsidRPr="00FF3FA7">
        <w:rPr>
          <w:rFonts w:ascii="Arial" w:hAnsi="Arial" w:cs="Arial"/>
          <w:color w:val="000000" w:themeColor="text1"/>
        </w:rPr>
        <w:t xml:space="preserve"> 70</w:t>
      </w:r>
      <w:r w:rsidR="00FF3FA7" w:rsidRPr="00FF3FA7">
        <w:rPr>
          <w:rFonts w:ascii="Arial" w:hAnsi="Arial" w:cs="Arial"/>
          <w:color w:val="000000" w:themeColor="text1"/>
        </w:rPr>
        <w:t>.</w:t>
      </w:r>
    </w:p>
  </w:footnote>
  <w:footnote w:id="31">
    <w:p w14:paraId="12DF9572" w14:textId="09240531" w:rsidR="00CC0372" w:rsidRPr="00FF3FA7" w:rsidRDefault="00CC0372">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7C3276" w:rsidRPr="00FF3FA7">
        <w:rPr>
          <w:rFonts w:ascii="Arial" w:hAnsi="Arial" w:cs="Arial"/>
          <w:color w:val="000000" w:themeColor="text1"/>
        </w:rPr>
        <w:t xml:space="preserve">P. Singh, </w:t>
      </w:r>
      <w:r w:rsidR="007C3276" w:rsidRPr="00FF3FA7">
        <w:rPr>
          <w:rFonts w:ascii="Arial" w:hAnsi="Arial" w:cs="Arial"/>
          <w:i/>
          <w:iCs/>
          <w:color w:val="000000" w:themeColor="text1"/>
        </w:rPr>
        <w:t>supra</w:t>
      </w:r>
      <w:r w:rsidR="007C3276" w:rsidRPr="00FF3FA7">
        <w:rPr>
          <w:rFonts w:ascii="Arial" w:hAnsi="Arial" w:cs="Arial"/>
          <w:color w:val="000000" w:themeColor="text1"/>
        </w:rPr>
        <w:t xml:space="preserve"> n.1, p.</w:t>
      </w:r>
      <w:r w:rsidR="00FF3FA7" w:rsidRPr="00FF3FA7">
        <w:rPr>
          <w:rFonts w:ascii="Arial" w:hAnsi="Arial" w:cs="Arial"/>
          <w:color w:val="000000" w:themeColor="text1"/>
        </w:rPr>
        <w:t xml:space="preserve"> </w:t>
      </w:r>
      <w:r w:rsidR="007C3276" w:rsidRPr="00FF3FA7">
        <w:rPr>
          <w:rFonts w:ascii="Arial" w:hAnsi="Arial" w:cs="Arial"/>
          <w:color w:val="000000" w:themeColor="text1"/>
        </w:rPr>
        <w:t>14</w:t>
      </w:r>
      <w:r w:rsidR="00FF3FA7" w:rsidRPr="00FF3FA7">
        <w:rPr>
          <w:rFonts w:ascii="Arial" w:hAnsi="Arial" w:cs="Arial"/>
          <w:color w:val="000000" w:themeColor="text1"/>
        </w:rPr>
        <w:t>.</w:t>
      </w:r>
    </w:p>
  </w:footnote>
  <w:footnote w:id="32">
    <w:p w14:paraId="6948E50D" w14:textId="5B3D25D3" w:rsidR="00CC0372" w:rsidRPr="00FF3FA7" w:rsidRDefault="00CC0372">
      <w:pPr>
        <w:pStyle w:val="FootnoteText"/>
        <w:rPr>
          <w:rFonts w:ascii="Arial" w:hAnsi="Arial" w:cs="Arial"/>
          <w:i/>
          <w:iCs/>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7C3276" w:rsidRPr="00FF3FA7">
        <w:rPr>
          <w:rFonts w:ascii="Arial" w:hAnsi="Arial" w:cs="Arial"/>
          <w:color w:val="000000" w:themeColor="text1"/>
        </w:rPr>
        <w:t>Ibid.</w:t>
      </w:r>
    </w:p>
  </w:footnote>
  <w:footnote w:id="33">
    <w:p w14:paraId="541E7CD7" w14:textId="197EFCE2" w:rsidR="006C4F70" w:rsidRPr="00FF3FA7" w:rsidRDefault="006C4F70" w:rsidP="00FF3FA7">
      <w:pPr>
        <w:spacing w:after="0"/>
        <w:rPr>
          <w:rFonts w:ascii="Arial" w:hAnsi="Arial" w:cs="Arial"/>
          <w:color w:val="000000" w:themeColor="text1"/>
          <w:sz w:val="20"/>
          <w:szCs w:val="20"/>
        </w:rPr>
      </w:pPr>
      <w:r w:rsidRPr="00FF3FA7">
        <w:rPr>
          <w:rStyle w:val="FootnoteReference"/>
          <w:rFonts w:ascii="Arial" w:hAnsi="Arial" w:cs="Arial"/>
          <w:color w:val="000000" w:themeColor="text1"/>
          <w:sz w:val="20"/>
          <w:szCs w:val="20"/>
        </w:rPr>
        <w:footnoteRef/>
      </w:r>
      <w:r w:rsidRPr="00FF3FA7">
        <w:rPr>
          <w:rFonts w:ascii="Arial" w:hAnsi="Arial" w:cs="Arial"/>
          <w:color w:val="000000" w:themeColor="text1"/>
          <w:sz w:val="20"/>
          <w:szCs w:val="20"/>
        </w:rPr>
        <w:t xml:space="preserve"> </w:t>
      </w:r>
      <w:r w:rsidR="007C3276" w:rsidRPr="00FF3FA7">
        <w:rPr>
          <w:rFonts w:ascii="Arial" w:hAnsi="Arial" w:cs="Arial"/>
          <w:color w:val="000000" w:themeColor="text1"/>
          <w:sz w:val="20"/>
          <w:szCs w:val="20"/>
        </w:rPr>
        <w:t>K. Proctor, ‘Boris Johnson urged to apologise for “derogatory and racist” letterboxes article’</w:t>
      </w:r>
      <w:r w:rsidR="00FF3FA7" w:rsidRPr="00FF3FA7">
        <w:rPr>
          <w:rFonts w:ascii="Arial" w:hAnsi="Arial" w:cs="Arial"/>
          <w:color w:val="000000" w:themeColor="text1"/>
          <w:sz w:val="20"/>
          <w:szCs w:val="20"/>
        </w:rPr>
        <w:t xml:space="preserve">, </w:t>
      </w:r>
      <w:r w:rsidR="007C3276" w:rsidRPr="00FF3FA7">
        <w:rPr>
          <w:rFonts w:ascii="Arial" w:hAnsi="Arial" w:cs="Arial"/>
          <w:i/>
          <w:iCs/>
          <w:color w:val="000000" w:themeColor="text1"/>
          <w:sz w:val="20"/>
          <w:szCs w:val="20"/>
        </w:rPr>
        <w:t>The Guardian</w:t>
      </w:r>
      <w:r w:rsidR="007C3276" w:rsidRPr="00FF3FA7">
        <w:rPr>
          <w:rFonts w:ascii="Arial" w:hAnsi="Arial" w:cs="Arial"/>
          <w:color w:val="000000" w:themeColor="text1"/>
          <w:sz w:val="20"/>
          <w:szCs w:val="20"/>
        </w:rPr>
        <w:t xml:space="preserve"> (4 September 2019)</w:t>
      </w:r>
      <w:r w:rsidR="00FF3FA7" w:rsidRPr="00FF3FA7">
        <w:rPr>
          <w:rFonts w:ascii="Arial" w:hAnsi="Arial" w:cs="Arial"/>
          <w:color w:val="000000" w:themeColor="text1"/>
          <w:sz w:val="20"/>
          <w:szCs w:val="20"/>
        </w:rPr>
        <w:t xml:space="preserve"> &lt;</w:t>
      </w:r>
      <w:hyperlink r:id="rId14" w:history="1">
        <w:r w:rsidR="00FF3FA7" w:rsidRPr="00FF3FA7">
          <w:rPr>
            <w:rStyle w:val="Hyperlink"/>
            <w:rFonts w:ascii="Arial" w:hAnsi="Arial" w:cs="Arial"/>
            <w:color w:val="000000" w:themeColor="text1"/>
            <w:sz w:val="20"/>
            <w:szCs w:val="20"/>
          </w:rPr>
          <w:t>https://www.theguardian.com/politics/2019/sep/04/boris-johnson-urged-to-apologise-for-muslim-women-letterboxes-article</w:t>
        </w:r>
      </w:hyperlink>
      <w:r w:rsidR="00FF3FA7" w:rsidRPr="00FF3FA7">
        <w:rPr>
          <w:rFonts w:ascii="Arial" w:hAnsi="Arial" w:cs="Arial"/>
          <w:color w:val="000000" w:themeColor="text1"/>
          <w:sz w:val="20"/>
          <w:szCs w:val="20"/>
        </w:rPr>
        <w:t>&gt; accessed 8 September 2019.</w:t>
      </w:r>
    </w:p>
  </w:footnote>
  <w:footnote w:id="34">
    <w:p w14:paraId="0CFCDC43" w14:textId="7E75291B"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AG 1240</w:t>
      </w:r>
      <w:r w:rsidR="00FF3FA7" w:rsidRPr="00FF3FA7">
        <w:rPr>
          <w:rFonts w:ascii="Arial" w:hAnsi="Arial" w:cs="Arial"/>
          <w:color w:val="000000" w:themeColor="text1"/>
        </w:rPr>
        <w:t xml:space="preserve">. </w:t>
      </w:r>
    </w:p>
  </w:footnote>
  <w:footnote w:id="35">
    <w:p w14:paraId="0AF0CD07" w14:textId="6CBDE5F7"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w:t>
      </w:r>
      <w:r w:rsidR="00041F8E" w:rsidRPr="00FF3FA7">
        <w:rPr>
          <w:rFonts w:ascii="Arial" w:hAnsi="Arial" w:cs="Arial"/>
          <w:color w:val="000000" w:themeColor="text1"/>
        </w:rPr>
        <w:t>For quotation</w:t>
      </w:r>
      <w:r w:rsidR="00FF3FA7">
        <w:rPr>
          <w:rFonts w:ascii="Arial" w:hAnsi="Arial" w:cs="Arial"/>
          <w:color w:val="000000" w:themeColor="text1"/>
        </w:rPr>
        <w:t>,</w:t>
      </w:r>
      <w:r w:rsidR="00041F8E" w:rsidRPr="00FF3FA7">
        <w:rPr>
          <w:rFonts w:ascii="Arial" w:hAnsi="Arial" w:cs="Arial"/>
          <w:color w:val="000000" w:themeColor="text1"/>
        </w:rPr>
        <w:t xml:space="preserve"> see</w:t>
      </w:r>
      <w:r w:rsidR="00FF3FA7" w:rsidRPr="00FF3FA7">
        <w:rPr>
          <w:rFonts w:ascii="Arial" w:hAnsi="Arial" w:cs="Arial"/>
          <w:color w:val="000000" w:themeColor="text1"/>
        </w:rPr>
        <w:t xml:space="preserve"> Red Zambala, </w:t>
      </w:r>
      <w:r w:rsidR="00FF3FA7" w:rsidRPr="00FF3FA7">
        <w:rPr>
          <w:rFonts w:ascii="Arial" w:hAnsi="Arial" w:cs="Arial"/>
          <w:i/>
          <w:iCs/>
          <w:color w:val="000000" w:themeColor="text1"/>
        </w:rPr>
        <w:t>supra</w:t>
      </w:r>
      <w:r w:rsidR="00FF3FA7" w:rsidRPr="00FF3FA7">
        <w:rPr>
          <w:rFonts w:ascii="Arial" w:hAnsi="Arial" w:cs="Arial"/>
          <w:color w:val="000000" w:themeColor="text1"/>
        </w:rPr>
        <w:t xml:space="preserve"> n. 28.</w:t>
      </w:r>
    </w:p>
  </w:footnote>
  <w:footnote w:id="36">
    <w:p w14:paraId="5F8B5385" w14:textId="4B234808"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The second formulation of Kant’s categorical imperative requires that others are always treated as ends, and never as means</w:t>
      </w:r>
      <w:r w:rsidR="00130133">
        <w:rPr>
          <w:rFonts w:ascii="Arial" w:hAnsi="Arial" w:cs="Arial"/>
          <w:color w:val="000000" w:themeColor="text1"/>
        </w:rPr>
        <w:t>. S</w:t>
      </w:r>
      <w:r w:rsidR="00041F8E" w:rsidRPr="00FF3FA7">
        <w:rPr>
          <w:rFonts w:ascii="Arial" w:hAnsi="Arial" w:cs="Arial"/>
          <w:color w:val="000000" w:themeColor="text1"/>
        </w:rPr>
        <w:t xml:space="preserve">ee I. Kant, </w:t>
      </w:r>
      <w:r w:rsidR="00041F8E" w:rsidRPr="00FF3FA7">
        <w:rPr>
          <w:rFonts w:ascii="Arial" w:hAnsi="Arial" w:cs="Arial"/>
          <w:i/>
          <w:iCs/>
          <w:color w:val="000000" w:themeColor="text1"/>
        </w:rPr>
        <w:t xml:space="preserve">Groundwork for the Metaphysics of Morals </w:t>
      </w:r>
      <w:r w:rsidR="00041F8E" w:rsidRPr="00FF3FA7">
        <w:rPr>
          <w:rFonts w:ascii="Arial" w:hAnsi="Arial" w:cs="Arial"/>
          <w:color w:val="000000" w:themeColor="text1"/>
        </w:rPr>
        <w:t>(2</w:t>
      </w:r>
      <w:r w:rsidR="00041F8E" w:rsidRPr="00FF3FA7">
        <w:rPr>
          <w:rFonts w:ascii="Arial" w:hAnsi="Arial" w:cs="Arial"/>
          <w:color w:val="000000" w:themeColor="text1"/>
          <w:vertAlign w:val="superscript"/>
        </w:rPr>
        <w:t>nd</w:t>
      </w:r>
      <w:r w:rsidR="00041F8E" w:rsidRPr="00FF3FA7">
        <w:rPr>
          <w:rFonts w:ascii="Arial" w:hAnsi="Arial" w:cs="Arial"/>
          <w:color w:val="000000" w:themeColor="text1"/>
        </w:rPr>
        <w:t xml:space="preserve"> edn, Yale University Press 2018)</w:t>
      </w:r>
      <w:r w:rsidR="00130133">
        <w:rPr>
          <w:rFonts w:ascii="Arial" w:hAnsi="Arial" w:cs="Arial"/>
          <w:color w:val="000000" w:themeColor="text1"/>
        </w:rPr>
        <w:t>.</w:t>
      </w:r>
    </w:p>
  </w:footnote>
  <w:footnote w:id="37">
    <w:p w14:paraId="024291BE" w14:textId="77D7479F" w:rsidR="006C4F70" w:rsidRPr="00FF3FA7" w:rsidRDefault="006C4F70">
      <w:pPr>
        <w:pStyle w:val="FootnoteText"/>
        <w:rPr>
          <w:rFonts w:ascii="Arial" w:hAnsi="Arial" w:cs="Arial"/>
          <w:color w:val="000000" w:themeColor="text1"/>
        </w:rPr>
      </w:pPr>
      <w:r w:rsidRPr="00FF3FA7">
        <w:rPr>
          <w:rStyle w:val="FootnoteReference"/>
          <w:rFonts w:ascii="Arial" w:hAnsi="Arial" w:cs="Arial"/>
          <w:color w:val="000000" w:themeColor="text1"/>
        </w:rPr>
        <w:footnoteRef/>
      </w:r>
      <w:r w:rsidRPr="00FF3FA7">
        <w:rPr>
          <w:rFonts w:ascii="Arial" w:hAnsi="Arial" w:cs="Arial"/>
          <w:color w:val="000000" w:themeColor="text1"/>
        </w:rPr>
        <w:t xml:space="preserve"> Commonly expressed as the biblical rule “do unto others as you would have them do unto you” (Matthew 7:12)</w:t>
      </w:r>
      <w:r w:rsidR="00130133">
        <w:rPr>
          <w:rFonts w:ascii="Arial" w:hAnsi="Arial" w:cs="Arial"/>
          <w:color w:val="000000" w:themeColor="text1"/>
        </w:rPr>
        <w:t>. S</w:t>
      </w:r>
      <w:r w:rsidRPr="00FF3FA7">
        <w:rPr>
          <w:rFonts w:ascii="Arial" w:hAnsi="Arial" w:cs="Arial"/>
          <w:color w:val="000000" w:themeColor="text1"/>
        </w:rPr>
        <w:t xml:space="preserve">ee R. M. Kidder, </w:t>
      </w:r>
      <w:r w:rsidRPr="00FF3FA7">
        <w:rPr>
          <w:rFonts w:ascii="Arial" w:hAnsi="Arial" w:cs="Arial"/>
          <w:i/>
          <w:iCs/>
          <w:color w:val="000000" w:themeColor="text1"/>
        </w:rPr>
        <w:t>How Good People Make Tough Choices: Resolving the Dilemmas of Ethical Living</w:t>
      </w:r>
      <w:r w:rsidRPr="00FF3FA7">
        <w:rPr>
          <w:rFonts w:ascii="Arial" w:hAnsi="Arial" w:cs="Arial"/>
          <w:color w:val="000000" w:themeColor="text1"/>
        </w:rPr>
        <w:t xml:space="preserve"> (1</w:t>
      </w:r>
      <w:r w:rsidRPr="00FF3FA7">
        <w:rPr>
          <w:rFonts w:ascii="Arial" w:hAnsi="Arial" w:cs="Arial"/>
          <w:color w:val="000000" w:themeColor="text1"/>
          <w:vertAlign w:val="superscript"/>
        </w:rPr>
        <w:t>st</w:t>
      </w:r>
      <w:r w:rsidRPr="00FF3FA7">
        <w:rPr>
          <w:rFonts w:ascii="Arial" w:hAnsi="Arial" w:cs="Arial"/>
          <w:color w:val="000000" w:themeColor="text1"/>
        </w:rPr>
        <w:t xml:space="preserve"> edn</w:t>
      </w:r>
      <w:r w:rsidR="00041F8E" w:rsidRPr="00FF3FA7">
        <w:rPr>
          <w:rFonts w:ascii="Arial" w:hAnsi="Arial" w:cs="Arial"/>
          <w:color w:val="000000" w:themeColor="text1"/>
        </w:rPr>
        <w:t>, Harper Perennial 2004</w:t>
      </w:r>
      <w:r w:rsidRPr="00FF3FA7">
        <w:rPr>
          <w:rFonts w:ascii="Arial" w:hAnsi="Arial" w:cs="Arial"/>
          <w:color w:val="000000" w:themeColor="text1"/>
        </w:rPr>
        <w:t>), p. 159</w:t>
      </w:r>
      <w:r w:rsidR="00130133">
        <w:rPr>
          <w:rFonts w:ascii="Arial" w:hAnsi="Arial" w:cs="Arial"/>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25"/>
    <w:rsid w:val="00022B2D"/>
    <w:rsid w:val="00041F8E"/>
    <w:rsid w:val="00044225"/>
    <w:rsid w:val="00056188"/>
    <w:rsid w:val="000567AB"/>
    <w:rsid w:val="00061824"/>
    <w:rsid w:val="00063EDC"/>
    <w:rsid w:val="00064F6D"/>
    <w:rsid w:val="000C2DD4"/>
    <w:rsid w:val="000D0FF1"/>
    <w:rsid w:val="000E3F4A"/>
    <w:rsid w:val="00116FB9"/>
    <w:rsid w:val="00130133"/>
    <w:rsid w:val="00134066"/>
    <w:rsid w:val="001551D9"/>
    <w:rsid w:val="001611CB"/>
    <w:rsid w:val="0016427E"/>
    <w:rsid w:val="00165891"/>
    <w:rsid w:val="001828D9"/>
    <w:rsid w:val="00192565"/>
    <w:rsid w:val="001931C7"/>
    <w:rsid w:val="001973BF"/>
    <w:rsid w:val="001C201B"/>
    <w:rsid w:val="001C2278"/>
    <w:rsid w:val="002005EE"/>
    <w:rsid w:val="00202FCA"/>
    <w:rsid w:val="00212D81"/>
    <w:rsid w:val="00224BD3"/>
    <w:rsid w:val="002251BF"/>
    <w:rsid w:val="002505A3"/>
    <w:rsid w:val="00253246"/>
    <w:rsid w:val="002A12AB"/>
    <w:rsid w:val="002C43A5"/>
    <w:rsid w:val="002F282B"/>
    <w:rsid w:val="00313EA3"/>
    <w:rsid w:val="003337C9"/>
    <w:rsid w:val="003448F5"/>
    <w:rsid w:val="00384767"/>
    <w:rsid w:val="00397772"/>
    <w:rsid w:val="003A75D6"/>
    <w:rsid w:val="003B69D0"/>
    <w:rsid w:val="003C6395"/>
    <w:rsid w:val="003E195E"/>
    <w:rsid w:val="003E420E"/>
    <w:rsid w:val="003E6188"/>
    <w:rsid w:val="0043312C"/>
    <w:rsid w:val="004400AB"/>
    <w:rsid w:val="00491A6A"/>
    <w:rsid w:val="004B7813"/>
    <w:rsid w:val="004C453D"/>
    <w:rsid w:val="00501A36"/>
    <w:rsid w:val="0051221A"/>
    <w:rsid w:val="0053547A"/>
    <w:rsid w:val="0059425D"/>
    <w:rsid w:val="005A7131"/>
    <w:rsid w:val="005C191C"/>
    <w:rsid w:val="005C28D2"/>
    <w:rsid w:val="005C666C"/>
    <w:rsid w:val="005E17A2"/>
    <w:rsid w:val="005F0ADC"/>
    <w:rsid w:val="006011A8"/>
    <w:rsid w:val="0061185A"/>
    <w:rsid w:val="00620160"/>
    <w:rsid w:val="006540C8"/>
    <w:rsid w:val="00664D24"/>
    <w:rsid w:val="00664EBF"/>
    <w:rsid w:val="0067572C"/>
    <w:rsid w:val="006A26E7"/>
    <w:rsid w:val="006C0B50"/>
    <w:rsid w:val="006C3252"/>
    <w:rsid w:val="006C37B5"/>
    <w:rsid w:val="006C4F70"/>
    <w:rsid w:val="006C6096"/>
    <w:rsid w:val="006E587C"/>
    <w:rsid w:val="006F4375"/>
    <w:rsid w:val="0071088A"/>
    <w:rsid w:val="007114E5"/>
    <w:rsid w:val="007214FC"/>
    <w:rsid w:val="00721C6D"/>
    <w:rsid w:val="00727BF9"/>
    <w:rsid w:val="00732984"/>
    <w:rsid w:val="00735378"/>
    <w:rsid w:val="00741AB6"/>
    <w:rsid w:val="0074435B"/>
    <w:rsid w:val="0075182C"/>
    <w:rsid w:val="00770455"/>
    <w:rsid w:val="007A0E43"/>
    <w:rsid w:val="007B03BA"/>
    <w:rsid w:val="007B3E83"/>
    <w:rsid w:val="007C3276"/>
    <w:rsid w:val="007C58C6"/>
    <w:rsid w:val="007E5F96"/>
    <w:rsid w:val="00807CE6"/>
    <w:rsid w:val="00815E87"/>
    <w:rsid w:val="00816B28"/>
    <w:rsid w:val="00816B7B"/>
    <w:rsid w:val="008232CF"/>
    <w:rsid w:val="008248B7"/>
    <w:rsid w:val="00832C51"/>
    <w:rsid w:val="00836C0C"/>
    <w:rsid w:val="00854BF7"/>
    <w:rsid w:val="008A1D81"/>
    <w:rsid w:val="008A2F10"/>
    <w:rsid w:val="008A64F1"/>
    <w:rsid w:val="008D2089"/>
    <w:rsid w:val="008D7AB4"/>
    <w:rsid w:val="008F5A13"/>
    <w:rsid w:val="009171BF"/>
    <w:rsid w:val="00923586"/>
    <w:rsid w:val="009242BE"/>
    <w:rsid w:val="00925FAC"/>
    <w:rsid w:val="00937E40"/>
    <w:rsid w:val="00956A23"/>
    <w:rsid w:val="00973808"/>
    <w:rsid w:val="009A26E5"/>
    <w:rsid w:val="009B3931"/>
    <w:rsid w:val="009D7D6D"/>
    <w:rsid w:val="009E371B"/>
    <w:rsid w:val="00A00D6E"/>
    <w:rsid w:val="00A00E26"/>
    <w:rsid w:val="00A0425E"/>
    <w:rsid w:val="00A17E72"/>
    <w:rsid w:val="00A33755"/>
    <w:rsid w:val="00A46B01"/>
    <w:rsid w:val="00A647B5"/>
    <w:rsid w:val="00A66FA9"/>
    <w:rsid w:val="00AA3107"/>
    <w:rsid w:val="00AB2FBE"/>
    <w:rsid w:val="00AC303D"/>
    <w:rsid w:val="00B236A3"/>
    <w:rsid w:val="00B2798C"/>
    <w:rsid w:val="00B371CD"/>
    <w:rsid w:val="00B43018"/>
    <w:rsid w:val="00B644A2"/>
    <w:rsid w:val="00B86D92"/>
    <w:rsid w:val="00BA404D"/>
    <w:rsid w:val="00BD12F1"/>
    <w:rsid w:val="00BD4D17"/>
    <w:rsid w:val="00C1116A"/>
    <w:rsid w:val="00C12C98"/>
    <w:rsid w:val="00C3570A"/>
    <w:rsid w:val="00C7141C"/>
    <w:rsid w:val="00C85E1E"/>
    <w:rsid w:val="00CC0372"/>
    <w:rsid w:val="00CC0620"/>
    <w:rsid w:val="00D3714C"/>
    <w:rsid w:val="00D6061D"/>
    <w:rsid w:val="00D7209A"/>
    <w:rsid w:val="00D76E1B"/>
    <w:rsid w:val="00D92895"/>
    <w:rsid w:val="00DC074A"/>
    <w:rsid w:val="00DD742A"/>
    <w:rsid w:val="00DE02F3"/>
    <w:rsid w:val="00E029DD"/>
    <w:rsid w:val="00E24965"/>
    <w:rsid w:val="00E30B8E"/>
    <w:rsid w:val="00E631F3"/>
    <w:rsid w:val="00E750E9"/>
    <w:rsid w:val="00E93FDF"/>
    <w:rsid w:val="00EA38AC"/>
    <w:rsid w:val="00EB2CDC"/>
    <w:rsid w:val="00EC026E"/>
    <w:rsid w:val="00EC1BF9"/>
    <w:rsid w:val="00EC7193"/>
    <w:rsid w:val="00ED2F48"/>
    <w:rsid w:val="00EE15E5"/>
    <w:rsid w:val="00F111C5"/>
    <w:rsid w:val="00F50626"/>
    <w:rsid w:val="00FA71CF"/>
    <w:rsid w:val="00FB32F9"/>
    <w:rsid w:val="00FB3C16"/>
    <w:rsid w:val="00FC34C7"/>
    <w:rsid w:val="00FF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DBE31"/>
  <w15:chartTrackingRefBased/>
  <w15:docId w15:val="{9104980A-E031-4E59-B1BE-E4927DA3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DD4"/>
    <w:rPr>
      <w:sz w:val="20"/>
      <w:szCs w:val="20"/>
    </w:rPr>
  </w:style>
  <w:style w:type="character" w:styleId="FootnoteReference">
    <w:name w:val="footnote reference"/>
    <w:basedOn w:val="DefaultParagraphFont"/>
    <w:uiPriority w:val="99"/>
    <w:semiHidden/>
    <w:unhideWhenUsed/>
    <w:rsid w:val="000C2DD4"/>
    <w:rPr>
      <w:vertAlign w:val="superscript"/>
    </w:rPr>
  </w:style>
  <w:style w:type="paragraph" w:styleId="ListParagraph">
    <w:name w:val="List Paragraph"/>
    <w:basedOn w:val="Normal"/>
    <w:uiPriority w:val="34"/>
    <w:qFormat/>
    <w:rsid w:val="00E30B8E"/>
    <w:pPr>
      <w:ind w:left="720"/>
      <w:contextualSpacing/>
    </w:pPr>
  </w:style>
  <w:style w:type="paragraph" w:styleId="Header">
    <w:name w:val="header"/>
    <w:basedOn w:val="Normal"/>
    <w:link w:val="HeaderChar"/>
    <w:uiPriority w:val="99"/>
    <w:unhideWhenUsed/>
    <w:rsid w:val="00C11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16A"/>
  </w:style>
  <w:style w:type="paragraph" w:styleId="Footer">
    <w:name w:val="footer"/>
    <w:basedOn w:val="Normal"/>
    <w:link w:val="FooterChar"/>
    <w:uiPriority w:val="99"/>
    <w:unhideWhenUsed/>
    <w:rsid w:val="00C11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16A"/>
  </w:style>
  <w:style w:type="character" w:styleId="CommentReference">
    <w:name w:val="annotation reference"/>
    <w:basedOn w:val="DefaultParagraphFont"/>
    <w:uiPriority w:val="99"/>
    <w:semiHidden/>
    <w:unhideWhenUsed/>
    <w:rsid w:val="008D7AB4"/>
    <w:rPr>
      <w:sz w:val="16"/>
      <w:szCs w:val="16"/>
    </w:rPr>
  </w:style>
  <w:style w:type="paragraph" w:styleId="CommentText">
    <w:name w:val="annotation text"/>
    <w:basedOn w:val="Normal"/>
    <w:link w:val="CommentTextChar"/>
    <w:uiPriority w:val="99"/>
    <w:semiHidden/>
    <w:unhideWhenUsed/>
    <w:rsid w:val="008D7AB4"/>
    <w:pPr>
      <w:spacing w:line="240" w:lineRule="auto"/>
    </w:pPr>
    <w:rPr>
      <w:sz w:val="20"/>
      <w:szCs w:val="20"/>
    </w:rPr>
  </w:style>
  <w:style w:type="character" w:customStyle="1" w:styleId="CommentTextChar">
    <w:name w:val="Comment Text Char"/>
    <w:basedOn w:val="DefaultParagraphFont"/>
    <w:link w:val="CommentText"/>
    <w:uiPriority w:val="99"/>
    <w:semiHidden/>
    <w:rsid w:val="008D7AB4"/>
    <w:rPr>
      <w:sz w:val="20"/>
      <w:szCs w:val="20"/>
    </w:rPr>
  </w:style>
  <w:style w:type="paragraph" w:styleId="CommentSubject">
    <w:name w:val="annotation subject"/>
    <w:basedOn w:val="CommentText"/>
    <w:next w:val="CommentText"/>
    <w:link w:val="CommentSubjectChar"/>
    <w:uiPriority w:val="99"/>
    <w:semiHidden/>
    <w:unhideWhenUsed/>
    <w:rsid w:val="008D7AB4"/>
    <w:rPr>
      <w:b/>
      <w:bCs/>
    </w:rPr>
  </w:style>
  <w:style w:type="character" w:customStyle="1" w:styleId="CommentSubjectChar">
    <w:name w:val="Comment Subject Char"/>
    <w:basedOn w:val="CommentTextChar"/>
    <w:link w:val="CommentSubject"/>
    <w:uiPriority w:val="99"/>
    <w:semiHidden/>
    <w:rsid w:val="008D7AB4"/>
    <w:rPr>
      <w:b/>
      <w:bCs/>
      <w:sz w:val="20"/>
      <w:szCs w:val="20"/>
    </w:rPr>
  </w:style>
  <w:style w:type="paragraph" w:styleId="BalloonText">
    <w:name w:val="Balloon Text"/>
    <w:basedOn w:val="Normal"/>
    <w:link w:val="BalloonTextChar"/>
    <w:uiPriority w:val="99"/>
    <w:semiHidden/>
    <w:unhideWhenUsed/>
    <w:rsid w:val="008D7A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AB4"/>
    <w:rPr>
      <w:rFonts w:ascii="Times New Roman" w:hAnsi="Times New Roman" w:cs="Times New Roman"/>
      <w:sz w:val="18"/>
      <w:szCs w:val="18"/>
    </w:rPr>
  </w:style>
  <w:style w:type="character" w:styleId="Hyperlink">
    <w:name w:val="Hyperlink"/>
    <w:basedOn w:val="DefaultParagraphFont"/>
    <w:uiPriority w:val="99"/>
    <w:unhideWhenUsed/>
    <w:rsid w:val="001931C7"/>
    <w:rPr>
      <w:color w:val="0563C1" w:themeColor="hyperlink"/>
      <w:u w:val="single"/>
    </w:rPr>
  </w:style>
  <w:style w:type="character" w:styleId="UnresolvedMention">
    <w:name w:val="Unresolved Mention"/>
    <w:basedOn w:val="DefaultParagraphFont"/>
    <w:uiPriority w:val="99"/>
    <w:semiHidden/>
    <w:unhideWhenUsed/>
    <w:rsid w:val="001931C7"/>
    <w:rPr>
      <w:color w:val="605E5C"/>
      <w:shd w:val="clear" w:color="auto" w:fill="E1DFDD"/>
    </w:rPr>
  </w:style>
  <w:style w:type="character" w:styleId="FollowedHyperlink">
    <w:name w:val="FollowedHyperlink"/>
    <w:basedOn w:val="DefaultParagraphFont"/>
    <w:uiPriority w:val="99"/>
    <w:semiHidden/>
    <w:unhideWhenUsed/>
    <w:rsid w:val="00FF3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88561">
      <w:bodyDiv w:val="1"/>
      <w:marLeft w:val="0"/>
      <w:marRight w:val="0"/>
      <w:marTop w:val="0"/>
      <w:marBottom w:val="0"/>
      <w:divBdr>
        <w:top w:val="none" w:sz="0" w:space="0" w:color="auto"/>
        <w:left w:val="none" w:sz="0" w:space="0" w:color="auto"/>
        <w:bottom w:val="none" w:sz="0" w:space="0" w:color="auto"/>
        <w:right w:val="none" w:sz="0" w:space="0" w:color="auto"/>
      </w:divBdr>
    </w:div>
    <w:div w:id="440689873">
      <w:bodyDiv w:val="1"/>
      <w:marLeft w:val="0"/>
      <w:marRight w:val="0"/>
      <w:marTop w:val="0"/>
      <w:marBottom w:val="0"/>
      <w:divBdr>
        <w:top w:val="none" w:sz="0" w:space="0" w:color="auto"/>
        <w:left w:val="none" w:sz="0" w:space="0" w:color="auto"/>
        <w:bottom w:val="none" w:sz="0" w:space="0" w:color="auto"/>
        <w:right w:val="none" w:sz="0" w:space="0" w:color="auto"/>
      </w:divBdr>
    </w:div>
    <w:div w:id="612254206">
      <w:bodyDiv w:val="1"/>
      <w:marLeft w:val="0"/>
      <w:marRight w:val="0"/>
      <w:marTop w:val="0"/>
      <w:marBottom w:val="0"/>
      <w:divBdr>
        <w:top w:val="none" w:sz="0" w:space="0" w:color="auto"/>
        <w:left w:val="none" w:sz="0" w:space="0" w:color="auto"/>
        <w:bottom w:val="none" w:sz="0" w:space="0" w:color="auto"/>
        <w:right w:val="none" w:sz="0" w:space="0" w:color="auto"/>
      </w:divBdr>
    </w:div>
    <w:div w:id="686634710">
      <w:bodyDiv w:val="1"/>
      <w:marLeft w:val="0"/>
      <w:marRight w:val="0"/>
      <w:marTop w:val="0"/>
      <w:marBottom w:val="0"/>
      <w:divBdr>
        <w:top w:val="none" w:sz="0" w:space="0" w:color="auto"/>
        <w:left w:val="none" w:sz="0" w:space="0" w:color="auto"/>
        <w:bottom w:val="none" w:sz="0" w:space="0" w:color="auto"/>
        <w:right w:val="none" w:sz="0" w:space="0" w:color="auto"/>
      </w:divBdr>
    </w:div>
    <w:div w:id="708842279">
      <w:bodyDiv w:val="1"/>
      <w:marLeft w:val="0"/>
      <w:marRight w:val="0"/>
      <w:marTop w:val="0"/>
      <w:marBottom w:val="0"/>
      <w:divBdr>
        <w:top w:val="none" w:sz="0" w:space="0" w:color="auto"/>
        <w:left w:val="none" w:sz="0" w:space="0" w:color="auto"/>
        <w:bottom w:val="none" w:sz="0" w:space="0" w:color="auto"/>
        <w:right w:val="none" w:sz="0" w:space="0" w:color="auto"/>
      </w:divBdr>
    </w:div>
    <w:div w:id="1024208859">
      <w:bodyDiv w:val="1"/>
      <w:marLeft w:val="0"/>
      <w:marRight w:val="0"/>
      <w:marTop w:val="0"/>
      <w:marBottom w:val="0"/>
      <w:divBdr>
        <w:top w:val="none" w:sz="0" w:space="0" w:color="auto"/>
        <w:left w:val="none" w:sz="0" w:space="0" w:color="auto"/>
        <w:bottom w:val="none" w:sz="0" w:space="0" w:color="auto"/>
        <w:right w:val="none" w:sz="0" w:space="0" w:color="auto"/>
      </w:divBdr>
    </w:div>
    <w:div w:id="1407192606">
      <w:bodyDiv w:val="1"/>
      <w:marLeft w:val="0"/>
      <w:marRight w:val="0"/>
      <w:marTop w:val="0"/>
      <w:marBottom w:val="0"/>
      <w:divBdr>
        <w:top w:val="none" w:sz="0" w:space="0" w:color="auto"/>
        <w:left w:val="none" w:sz="0" w:space="0" w:color="auto"/>
        <w:bottom w:val="none" w:sz="0" w:space="0" w:color="auto"/>
        <w:right w:val="none" w:sz="0" w:space="0" w:color="auto"/>
      </w:divBdr>
    </w:div>
    <w:div w:id="1732388799">
      <w:bodyDiv w:val="1"/>
      <w:marLeft w:val="0"/>
      <w:marRight w:val="0"/>
      <w:marTop w:val="0"/>
      <w:marBottom w:val="0"/>
      <w:divBdr>
        <w:top w:val="none" w:sz="0" w:space="0" w:color="auto"/>
        <w:left w:val="none" w:sz="0" w:space="0" w:color="auto"/>
        <w:bottom w:val="none" w:sz="0" w:space="0" w:color="auto"/>
        <w:right w:val="none" w:sz="0" w:space="0" w:color="auto"/>
      </w:divBdr>
    </w:div>
    <w:div w:id="1830630773">
      <w:bodyDiv w:val="1"/>
      <w:marLeft w:val="0"/>
      <w:marRight w:val="0"/>
      <w:marTop w:val="0"/>
      <w:marBottom w:val="0"/>
      <w:divBdr>
        <w:top w:val="none" w:sz="0" w:space="0" w:color="auto"/>
        <w:left w:val="none" w:sz="0" w:space="0" w:color="auto"/>
        <w:bottom w:val="none" w:sz="0" w:space="0" w:color="auto"/>
        <w:right w:val="none" w:sz="0" w:space="0" w:color="auto"/>
      </w:divBdr>
    </w:div>
    <w:div w:id="2111274442">
      <w:bodyDiv w:val="1"/>
      <w:marLeft w:val="0"/>
      <w:marRight w:val="0"/>
      <w:marTop w:val="0"/>
      <w:marBottom w:val="0"/>
      <w:divBdr>
        <w:top w:val="none" w:sz="0" w:space="0" w:color="auto"/>
        <w:left w:val="none" w:sz="0" w:space="0" w:color="auto"/>
        <w:bottom w:val="none" w:sz="0" w:space="0" w:color="auto"/>
        <w:right w:val="none" w:sz="0" w:space="0" w:color="auto"/>
      </w:divBdr>
    </w:div>
    <w:div w:id="21370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fs.org.uk/uploads/R157-Living-Standards-Poverty-and-Inequality-2019.pdf" TargetMode="External"/><Relationship Id="rId13" Type="http://schemas.openxmlformats.org/officeDocument/2006/relationships/hyperlink" Target="https://www.supremecourt.uk/docs/speech-181124.pdf" TargetMode="External"/><Relationship Id="rId3" Type="http://schemas.openxmlformats.org/officeDocument/2006/relationships/hyperlink" Target="https://www.theguardian.com/education/2019/jul/25/two-thirds-of-boris-johnsons-cabinet-went-to-private-schools" TargetMode="External"/><Relationship Id="rId7" Type="http://schemas.openxmlformats.org/officeDocument/2006/relationships/hyperlink" Target="https://www.theguardian.com/inequality/2019/feb/26/uk-income-inequality-benefits-income-ons" TargetMode="External"/><Relationship Id="rId12" Type="http://schemas.openxmlformats.org/officeDocument/2006/relationships/hyperlink" Target="https://www.standard.co.uk/news/london/still-no-homes-for-151-grenfell-fire-families-stuck-in-emergency-or-temporary-housing-16-months-on-a3974526.html" TargetMode="External"/><Relationship Id="rId2" Type="http://schemas.openxmlformats.org/officeDocument/2006/relationships/hyperlink" Target="https://www.channel4.com/news/factcheck/factcheck-oxford-is-actually-more-likely-to-offer-a-place-to-the-best-black-candidates" TargetMode="External"/><Relationship Id="rId1" Type="http://schemas.openxmlformats.org/officeDocument/2006/relationships/hyperlink" Target="https://www.suttontrust.com/wp-content/uploads/2019/06/Elitist-Britain-2019.pdf" TargetMode="External"/><Relationship Id="rId6" Type="http://schemas.openxmlformats.org/officeDocument/2006/relationships/hyperlink" Target="https://www.theguardian.com/inequality/2019/may/14/britain-risks-heading-to-us-levels-of-inequality-warns-top-economist" TargetMode="External"/><Relationship Id="rId11" Type="http://schemas.openxmlformats.org/officeDocument/2006/relationships/hyperlink" Target="https://blog.shelter.org.uk/2018/07/the-full-extent-of-the-homelessness-crisis/" TargetMode="External"/><Relationship Id="rId5" Type="http://schemas.openxmlformats.org/officeDocument/2006/relationships/hyperlink" Target="https://www.theguardian.com/law/2015/nov/23/most-senior-judges-top-qcs-still-privately-educated-figures-show" TargetMode="External"/><Relationship Id="rId10" Type="http://schemas.openxmlformats.org/officeDocument/2006/relationships/hyperlink" Target="https://www.theguardian.com/society/2017/aug/31/un-panel-criticises-uk-failure-to-uphold-disabled-peoples-rights" TargetMode="External"/><Relationship Id="rId4" Type="http://schemas.openxmlformats.org/officeDocument/2006/relationships/hyperlink" Target="https://www.barstandardsboard.org.uk/media/1975681/diversity_at_the_bar_2018.pdf" TargetMode="External"/><Relationship Id="rId9" Type="http://schemas.openxmlformats.org/officeDocument/2006/relationships/hyperlink" Target="https://rightsinfo.org/tackling-socio-economic-inequality-in-the-uk-is-an-urgent-human-rights-issue/" TargetMode="External"/><Relationship Id="rId14" Type="http://schemas.openxmlformats.org/officeDocument/2006/relationships/hyperlink" Target="https://www.theguardian.com/politics/2019/sep/04/boris-johnson-urged-to-apologise-for-muslim-women-letterboxes-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CA3B-D7AC-458A-A3DD-55B62C62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2648</Words>
  <Characters>14330</Characters>
  <Application>Microsoft Office Word</Application>
  <DocSecurity>0</DocSecurity>
  <Lines>204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dc:creator>
  <cp:keywords/>
  <dc:description/>
  <cp:lastModifiedBy> </cp:lastModifiedBy>
  <cp:revision>9</cp:revision>
  <dcterms:created xsi:type="dcterms:W3CDTF">2019-09-10T14:07:00Z</dcterms:created>
  <dcterms:modified xsi:type="dcterms:W3CDTF">2019-09-10T14:30:00Z</dcterms:modified>
</cp:coreProperties>
</file>